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color w:val="000000"/>
          <w:sz w:val="18"/>
          <w:szCs w:val="18"/>
        </w:rPr>
      </w:pPr>
      <w:r>
        <w:rPr>
          <w:rFonts w:hint="eastAsia" w:ascii="微软雅黑" w:hAnsi="微软雅黑" w:eastAsia="微软雅黑" w:cs="微软雅黑"/>
          <w:b/>
          <w:bCs/>
          <w:color w:val="000000"/>
          <w:sz w:val="18"/>
          <w:szCs w:val="18"/>
        </w:rPr>
        <w:t>第七章</w:t>
      </w:r>
      <w:r>
        <w:rPr>
          <w:rFonts w:hint="eastAsia" w:ascii="微软雅黑" w:hAnsi="微软雅黑" w:eastAsia="微软雅黑" w:cs="微软雅黑"/>
          <w:b/>
          <w:bCs/>
          <w:color w:val="000000"/>
          <w:sz w:val="18"/>
          <w:szCs w:val="18"/>
        </w:rPr>
        <w:t xml:space="preserve"> 矿山安全技术</w:t>
      </w:r>
    </w:p>
    <w:p>
      <w:pPr>
        <w:rPr>
          <w:rFonts w:hint="eastAsia" w:ascii="微软雅黑" w:hAnsi="微软雅黑" w:eastAsia="微软雅黑" w:cs="微软雅黑"/>
          <w:b/>
          <w:bCs/>
          <w:color w:val="000000"/>
          <w:sz w:val="18"/>
          <w:szCs w:val="18"/>
        </w:rPr>
      </w:pPr>
      <w:r>
        <w:rPr>
          <w:rFonts w:hint="eastAsia" w:ascii="微软雅黑" w:hAnsi="微软雅黑" w:eastAsia="微软雅黑" w:cs="微软雅黑"/>
          <w:b/>
          <w:bCs/>
          <w:color w:val="000000"/>
          <w:sz w:val="18"/>
          <w:szCs w:val="18"/>
        </w:rPr>
        <w:t>大纲要求</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1</w:t>
      </w:r>
      <w:r>
        <w:rPr>
          <w:rFonts w:hint="eastAsia" w:ascii="微软雅黑" w:hAnsi="微软雅黑" w:eastAsia="微软雅黑" w:cs="微软雅黑"/>
          <w:color w:val="000000"/>
          <w:sz w:val="18"/>
          <w:szCs w:val="18"/>
        </w:rPr>
        <w:t>.</w:t>
      </w:r>
      <w:r>
        <w:rPr>
          <w:rFonts w:hint="eastAsia" w:ascii="微软雅黑" w:hAnsi="微软雅黑" w:eastAsia="微软雅黑" w:cs="微软雅黑"/>
          <w:color w:val="000000"/>
          <w:sz w:val="18"/>
          <w:szCs w:val="18"/>
        </w:rPr>
        <w:t>运用矿山安全相关技术和标准，辨识和分析矿山开采过程中的危险有害因素，采用相应技术措施，预防事故发生，重点预防瓦斯灾害、地压灾害、水害、火灾、尾矿库溃坝和排土场泥石流等主要事故。</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2．运用油气田安全相关技术和标准，辨识和分析油气田勘探、开发和储运过程中的危险有害因素，采用相应技术措施，预防事故发生，重点预防井喷、火灾、爆炸、中毒等主要事故。</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考点汇总与分值解析</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drawing>
          <wp:inline distT="0" distB="0" distL="0" distR="0">
            <wp:extent cx="5274310" cy="4062095"/>
            <wp:effectExtent l="19050" t="0" r="2540" b="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4"/>
                    <a:stretch>
                      <a:fillRect/>
                    </a:stretch>
                  </pic:blipFill>
                  <pic:spPr>
                    <a:xfrm>
                      <a:off x="0" y="0"/>
                      <a:ext cx="5274310" cy="4062095"/>
                    </a:xfrm>
                    <a:prstGeom prst="rect">
                      <a:avLst/>
                    </a:prstGeom>
                  </pic:spPr>
                </pic:pic>
              </a:graphicData>
            </a:graphic>
          </wp:inline>
        </w:drawing>
      </w:r>
    </w:p>
    <w:p>
      <w:pPr>
        <w:rPr>
          <w:rFonts w:hint="eastAsia" w:ascii="微软雅黑" w:hAnsi="微软雅黑" w:eastAsia="微软雅黑" w:cs="微软雅黑"/>
          <w:b/>
          <w:bCs/>
          <w:color w:val="000000"/>
          <w:sz w:val="18"/>
          <w:szCs w:val="18"/>
        </w:rPr>
      </w:pPr>
    </w:p>
    <w:p>
      <w:pPr>
        <w:rPr>
          <w:rFonts w:hint="eastAsia" w:ascii="微软雅黑" w:hAnsi="微软雅黑" w:eastAsia="微软雅黑" w:cs="微软雅黑"/>
          <w:b/>
          <w:bCs/>
          <w:color w:val="000000"/>
          <w:sz w:val="18"/>
          <w:szCs w:val="18"/>
        </w:rPr>
      </w:pPr>
      <w:r>
        <w:rPr>
          <w:rFonts w:hint="eastAsia" w:ascii="微软雅黑" w:hAnsi="微软雅黑" w:eastAsia="微软雅黑" w:cs="微软雅黑"/>
          <w:b/>
          <w:bCs/>
          <w:color w:val="000000"/>
          <w:sz w:val="18"/>
          <w:szCs w:val="18"/>
        </w:rPr>
        <w:t>考点精编</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考点一</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矿山开采技术(表7—1)</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7—1矿山开采技术</w:t>
      </w:r>
    </w:p>
    <w:tbl>
      <w:tblPr>
        <w:tblStyle w:val="4"/>
        <w:tblW w:w="8400" w:type="dxa"/>
        <w:tblInd w:w="15" w:type="dxa"/>
        <w:tblLayout w:type="fixed"/>
        <w:tblCellMar>
          <w:top w:w="0" w:type="dxa"/>
          <w:left w:w="0" w:type="dxa"/>
          <w:bottom w:w="0" w:type="dxa"/>
          <w:right w:w="0" w:type="dxa"/>
        </w:tblCellMar>
      </w:tblPr>
      <w:tblGrid>
        <w:gridCol w:w="388"/>
        <w:gridCol w:w="394"/>
        <w:gridCol w:w="797"/>
        <w:gridCol w:w="6821"/>
      </w:tblGrid>
      <w:tr>
        <w:tblPrEx>
          <w:tblLayout w:type="fixed"/>
          <w:tblCellMar>
            <w:top w:w="0" w:type="dxa"/>
            <w:left w:w="0" w:type="dxa"/>
            <w:bottom w:w="0" w:type="dxa"/>
            <w:right w:w="0" w:type="dxa"/>
          </w:tblCellMar>
        </w:tblPrEx>
        <w:trPr>
          <w:trHeight w:val="307" w:hRule="atLeast"/>
        </w:trPr>
        <w:tc>
          <w:tcPr>
            <w:tcW w:w="1579" w:type="dxa"/>
            <w:gridSpan w:val="3"/>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960" w:hRule="atLeast"/>
        </w:trPr>
        <w:tc>
          <w:tcPr>
            <w:tcW w:w="1579" w:type="dxa"/>
            <w:gridSpan w:val="3"/>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露天开采</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露天开采工艺。按作业的连续性，分间断式、连续式和半连续式。间断式开采工艺适用于各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种地质矿岩条件；连续式工艺劳动效率高，易实现生产过程自动化，但只能用于松软矿岩；半</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连续式工艺兼有以上两者的特点，但在硬岩中，需增加机械破碎岩石的环节</w:t>
            </w:r>
          </w:p>
        </w:tc>
      </w:tr>
      <w:tr>
        <w:tblPrEx>
          <w:tblLayout w:type="fixed"/>
          <w:tblCellMar>
            <w:top w:w="0" w:type="dxa"/>
            <w:left w:w="0" w:type="dxa"/>
            <w:bottom w:w="0" w:type="dxa"/>
            <w:right w:w="0" w:type="dxa"/>
          </w:tblCellMar>
        </w:tblPrEx>
        <w:trPr>
          <w:trHeight w:val="1761" w:hRule="atLeast"/>
        </w:trPr>
        <w:tc>
          <w:tcPr>
            <w:tcW w:w="388"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394" w:type="dxa"/>
            <w:tcBorders>
              <w:top w:val="single" w:color="auto" w:sz="8" w:space="0"/>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巷</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掘</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进</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w:t>
            </w:r>
          </w:p>
        </w:tc>
        <w:tc>
          <w:tcPr>
            <w:tcW w:w="797"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普通施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工法</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普通施工法一般采用钻眼爆破的方法。它的优点是操作简单、易于掌握、设备简单、安全可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靠，可以根据要求，在岩体中钻爆出不同形状、不同深度的井筒或巷道。根据炮眼深度与直径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的不同，我国矿山将钻眼爆破法分为浅孔爆破法、中深孔爆破法和深孔爆破法。炮眼直径小于</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50mm</w:t>
            </w:r>
            <w:r>
              <w:rPr>
                <w:rFonts w:hint="eastAsia" w:ascii="微软雅黑" w:hAnsi="微软雅黑" w:eastAsia="微软雅黑" w:cs="微软雅黑"/>
                <w:color w:val="000000"/>
                <w:kern w:val="0"/>
                <w:sz w:val="18"/>
                <w:szCs w:val="18"/>
              </w:rPr>
              <w:t>、深度小于</w:t>
            </w:r>
            <w:r>
              <w:rPr>
                <w:rFonts w:hint="eastAsia" w:ascii="微软雅黑" w:hAnsi="微软雅黑" w:eastAsia="微软雅黑" w:cs="微软雅黑"/>
                <w:color w:val="000000"/>
                <w:kern w:val="0"/>
                <w:sz w:val="18"/>
                <w:szCs w:val="18"/>
              </w:rPr>
              <w:t>2m</w:t>
            </w:r>
            <w:r>
              <w:rPr>
                <w:rFonts w:hint="eastAsia" w:ascii="微软雅黑" w:hAnsi="微软雅黑" w:eastAsia="微软雅黑" w:cs="微软雅黑"/>
                <w:color w:val="000000"/>
                <w:kern w:val="0"/>
                <w:sz w:val="18"/>
                <w:szCs w:val="18"/>
              </w:rPr>
              <w:t>时称为浅孔爆破，多用于井巷工程；炮眼直径小于</w:t>
            </w:r>
            <w:r>
              <w:rPr>
                <w:rFonts w:hint="eastAsia" w:ascii="微软雅黑" w:hAnsi="微软雅黑" w:eastAsia="微软雅黑" w:cs="微软雅黑"/>
                <w:color w:val="000000"/>
                <w:kern w:val="0"/>
                <w:sz w:val="18"/>
                <w:szCs w:val="18"/>
              </w:rPr>
              <w:t>50mm</w:t>
            </w:r>
            <w:r>
              <w:rPr>
                <w:rFonts w:hint="eastAsia" w:ascii="微软雅黑" w:hAnsi="微软雅黑" w:eastAsia="微软雅黑" w:cs="微软雅黑"/>
                <w:color w:val="000000"/>
                <w:kern w:val="0"/>
                <w:sz w:val="18"/>
                <w:szCs w:val="18"/>
              </w:rPr>
              <w:t>、深度</w:t>
            </w: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4m</w:t>
            </w:r>
            <w:r>
              <w:rPr>
                <w:rFonts w:hint="eastAsia" w:ascii="微软雅黑" w:hAnsi="微软雅黑" w:eastAsia="微软雅黑" w:cs="微软雅黑"/>
                <w:color w:val="000000"/>
                <w:kern w:val="0"/>
                <w:sz w:val="18"/>
                <w:szCs w:val="18"/>
              </w:rPr>
              <w:t>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为中深孔爆破，多用于井筒及大断面硐室掘进；炮眼直径大于</w:t>
            </w:r>
            <w:r>
              <w:rPr>
                <w:rFonts w:hint="eastAsia" w:ascii="微软雅黑" w:hAnsi="微软雅黑" w:eastAsia="微软雅黑" w:cs="微软雅黑"/>
                <w:color w:val="000000"/>
                <w:kern w:val="0"/>
                <w:sz w:val="18"/>
                <w:szCs w:val="18"/>
              </w:rPr>
              <w:t>50mm</w:t>
            </w:r>
            <w:r>
              <w:rPr>
                <w:rFonts w:hint="eastAsia" w:ascii="微软雅黑" w:hAnsi="微软雅黑" w:eastAsia="微软雅黑" w:cs="微软雅黑"/>
                <w:color w:val="000000"/>
                <w:kern w:val="0"/>
                <w:sz w:val="18"/>
                <w:szCs w:val="18"/>
              </w:rPr>
              <w:t>、深度大于</w:t>
            </w:r>
            <w:r>
              <w:rPr>
                <w:rFonts w:hint="eastAsia" w:ascii="微软雅黑" w:hAnsi="微软雅黑" w:eastAsia="微软雅黑" w:cs="微软雅黑"/>
                <w:color w:val="000000"/>
                <w:kern w:val="0"/>
                <w:sz w:val="18"/>
                <w:szCs w:val="18"/>
              </w:rPr>
              <w:t>5m</w:t>
            </w:r>
            <w:r>
              <w:rPr>
                <w:rFonts w:hint="eastAsia" w:ascii="微软雅黑" w:hAnsi="微软雅黑" w:eastAsia="微软雅黑" w:cs="微软雅黑"/>
                <w:color w:val="000000"/>
                <w:kern w:val="0"/>
                <w:sz w:val="18"/>
                <w:szCs w:val="18"/>
              </w:rPr>
              <w:t>则称为深</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孔爆破，主要用于立井井筒及溜煤眼、大断面硐室以及露天开采的台阶爆破</w:t>
            </w:r>
          </w:p>
        </w:tc>
      </w:tr>
      <w:tr>
        <w:tblPrEx>
          <w:tblLayout w:type="fixed"/>
          <w:tblCellMar>
            <w:top w:w="0" w:type="dxa"/>
            <w:left w:w="0" w:type="dxa"/>
            <w:bottom w:w="0" w:type="dxa"/>
            <w:right w:w="0" w:type="dxa"/>
          </w:tblCellMar>
        </w:tblPrEx>
        <w:trPr>
          <w:trHeight w:val="638" w:hRule="atLeast"/>
        </w:trPr>
        <w:tc>
          <w:tcPr>
            <w:tcW w:w="388"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地</w:t>
            </w:r>
          </w:p>
        </w:tc>
        <w:tc>
          <w:tcPr>
            <w:tcW w:w="394" w:type="dxa"/>
            <w:tcBorders>
              <w:top w:val="nil"/>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法</w:t>
            </w:r>
          </w:p>
          <w:p>
            <w:pPr>
              <w:autoSpaceDE w:val="0"/>
              <w:autoSpaceDN w:val="0"/>
              <w:rPr>
                <w:rFonts w:hint="eastAsia" w:ascii="微软雅黑" w:hAnsi="微软雅黑" w:eastAsia="微软雅黑" w:cs="微软雅黑"/>
                <w:color w:val="000000"/>
                <w:kern w:val="0"/>
                <w:sz w:val="18"/>
                <w:szCs w:val="18"/>
              </w:rPr>
            </w:pPr>
          </w:p>
        </w:tc>
        <w:tc>
          <w:tcPr>
            <w:tcW w:w="797"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特殊凿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井法</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特殊凿井法是当井筒穿过不稳定含水地层时，用普通施工法无法通过时采用的特殊施工方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法，主要有冻结法、钻井法、注浆法</w:t>
            </w:r>
          </w:p>
        </w:tc>
      </w:tr>
      <w:tr>
        <w:tblPrEx>
          <w:tblLayout w:type="fixed"/>
          <w:tblCellMar>
            <w:top w:w="0" w:type="dxa"/>
            <w:left w:w="0" w:type="dxa"/>
            <w:bottom w:w="0" w:type="dxa"/>
            <w:right w:w="0" w:type="dxa"/>
          </w:tblCellMar>
        </w:tblPrEx>
        <w:trPr>
          <w:trHeight w:val="1435" w:hRule="atLeast"/>
        </w:trPr>
        <w:tc>
          <w:tcPr>
            <w:tcW w:w="388"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山</w:t>
            </w:r>
          </w:p>
          <w:p>
            <w:pPr>
              <w:autoSpaceDE w:val="0"/>
              <w:autoSpaceDN w:val="0"/>
              <w:rPr>
                <w:rFonts w:hint="eastAsia" w:ascii="微软雅黑" w:hAnsi="微软雅黑" w:eastAsia="微软雅黑" w:cs="微软雅黑"/>
                <w:color w:val="000000"/>
                <w:kern w:val="0"/>
                <w:sz w:val="18"/>
                <w:szCs w:val="18"/>
              </w:rPr>
            </w:pPr>
          </w:p>
        </w:tc>
        <w:tc>
          <w:tcPr>
            <w:tcW w:w="394" w:type="dxa"/>
            <w:tcBorders>
              <w:top w:val="single" w:color="auto" w:sz="8" w:space="0"/>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采</w:t>
            </w:r>
          </w:p>
        </w:tc>
        <w:tc>
          <w:tcPr>
            <w:tcW w:w="797"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井工采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煤方法</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井工煤矿采煤方法虽然种类较多，但归纳起来，基本上可以分为壁式和柱式两大体系：</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壁式体系采煤法。按照回采工作面的推进方向与煤层走向的关系，壁式采煤法又可分为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走向长壁采煤法和倾斜长壁采煤法两种类型。缓倾斜及倾斜煤层采用单一长壁采煤法所采用的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回采工艺主要有炮采、普通机械化采煤</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高档普采</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和综合机械化采煤</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种类型。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柱式体系采煤法。柱式体系采煤法分为</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种类型：房式、房柱式及巷柱式</w:t>
            </w:r>
          </w:p>
        </w:tc>
      </w:tr>
      <w:tr>
        <w:tblPrEx>
          <w:tblLayout w:type="fixed"/>
          <w:tblCellMar>
            <w:top w:w="0" w:type="dxa"/>
            <w:left w:w="0" w:type="dxa"/>
            <w:bottom w:w="0" w:type="dxa"/>
            <w:right w:w="0" w:type="dxa"/>
          </w:tblCellMar>
        </w:tblPrEx>
        <w:trPr>
          <w:trHeight w:val="1920" w:hRule="atLeast"/>
        </w:trPr>
        <w:tc>
          <w:tcPr>
            <w:tcW w:w="388" w:type="dxa"/>
            <w:vMerge w:val="continue"/>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394" w:type="dxa"/>
            <w:tcBorders>
              <w:top w:val="nil"/>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法</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797"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金属非</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金属地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下矿山</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采矿方法</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根据矿石回采过程中采场管理方法的不同，金属、非金属的地下采矿方法大致分为：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空场采矿法</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又可分为全面采矿法、房柱采矿法、留矿采矿法、分段矿房法和阶段矿房</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法等</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崩落采矿法</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叉可分为单层崩落法、分层崩落法、分段崩落法、阶段崩落法</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充填采矿法</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按矿块结构和回采工作面推进方向充填采矿法又可分为单层充填采矿法、</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上向分层充填采矿法、下向分层充填采矿法和分采充填采矿法；按采用的充填料和输出方式不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同，又可分为干式充填采矿法，水力充填采矿法、胶结充填采矿法</w:t>
            </w:r>
            <w:r>
              <w:rPr>
                <w:rFonts w:hint="eastAsia" w:ascii="微软雅黑" w:hAnsi="微软雅黑" w:eastAsia="微软雅黑" w:cs="微软雅黑"/>
                <w:color w:val="000000"/>
                <w:kern w:val="0"/>
                <w:sz w:val="18"/>
                <w:szCs w:val="18"/>
              </w:rPr>
              <w:t>)</w:t>
            </w:r>
          </w:p>
        </w:tc>
      </w:tr>
    </w:tbl>
    <w:p>
      <w:pPr>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考点二</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矿用爆破器材及安全管理(表7—2)</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7—2矿用爆破器材及安全管理</w:t>
      </w:r>
    </w:p>
    <w:tbl>
      <w:tblPr>
        <w:tblStyle w:val="4"/>
        <w:tblW w:w="8409" w:type="dxa"/>
        <w:tblInd w:w="15" w:type="dxa"/>
        <w:tblLayout w:type="fixed"/>
        <w:tblCellMar>
          <w:top w:w="0" w:type="dxa"/>
          <w:left w:w="0" w:type="dxa"/>
          <w:bottom w:w="0" w:type="dxa"/>
          <w:right w:w="0" w:type="dxa"/>
        </w:tblCellMar>
      </w:tblPr>
      <w:tblGrid>
        <w:gridCol w:w="465"/>
        <w:gridCol w:w="1123"/>
        <w:gridCol w:w="6821"/>
      </w:tblGrid>
      <w:tr>
        <w:tblPrEx>
          <w:tblLayout w:type="fixed"/>
          <w:tblCellMar>
            <w:top w:w="0" w:type="dxa"/>
            <w:left w:w="0" w:type="dxa"/>
            <w:bottom w:w="0" w:type="dxa"/>
            <w:right w:w="0" w:type="dxa"/>
          </w:tblCellMar>
        </w:tblPrEx>
        <w:trPr>
          <w:trHeight w:val="307"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33"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炸药</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矿用炸药一般有硝酸铵类炸药、水胶炸药、硝化甘油炸药和乳胶炸药。其中硝酸铵类炸药是</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我国矿山最广泛使用的工业炸药</w:t>
            </w:r>
          </w:p>
        </w:tc>
      </w:tr>
      <w:tr>
        <w:tblPrEx>
          <w:tblLayout w:type="fixed"/>
          <w:tblCellMar>
            <w:top w:w="0" w:type="dxa"/>
            <w:left w:w="0" w:type="dxa"/>
            <w:bottom w:w="0" w:type="dxa"/>
            <w:right w:w="0" w:type="dxa"/>
          </w:tblCellMar>
        </w:tblPrEx>
        <w:trPr>
          <w:trHeight w:val="321" w:hRule="atLeast"/>
        </w:trPr>
        <w:tc>
          <w:tcPr>
            <w:tcW w:w="465" w:type="dxa"/>
            <w:vMerge w:val="restart"/>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雷管</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煤地下矿山下禁止使用明火起爆，只能采片</w:t>
            </w:r>
            <w:r>
              <w:rPr>
                <w:rFonts w:hint="eastAsia" w:ascii="微软雅黑" w:hAnsi="微软雅黑" w:eastAsia="微软雅黑" w:cs="微软雅黑"/>
                <w:color w:val="000000"/>
                <w:kern w:val="0"/>
                <w:sz w:val="18"/>
                <w:szCs w:val="18"/>
              </w:rPr>
              <w:t>j</w:t>
            </w:r>
            <w:r>
              <w:rPr>
                <w:rFonts w:hint="eastAsia" w:ascii="微软雅黑" w:hAnsi="微软雅黑" w:eastAsia="微软雅黑" w:cs="微软雅黑"/>
                <w:color w:val="000000"/>
                <w:kern w:val="0"/>
                <w:sz w:val="18"/>
                <w:szCs w:val="18"/>
              </w:rPr>
              <w:t>电能激发的电雷管</w:t>
            </w:r>
          </w:p>
        </w:tc>
      </w:tr>
      <w:tr>
        <w:tblPrEx>
          <w:tblLayout w:type="fixed"/>
          <w:tblCellMar>
            <w:top w:w="0" w:type="dxa"/>
            <w:left w:w="0" w:type="dxa"/>
            <w:bottom w:w="0" w:type="dxa"/>
            <w:right w:w="0" w:type="dxa"/>
          </w:tblCellMar>
        </w:tblPrEx>
        <w:trPr>
          <w:trHeight w:val="312" w:hRule="atLeast"/>
        </w:trPr>
        <w:tc>
          <w:tcPr>
            <w:tcW w:w="465"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导火索</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导火索不能在有瓦斯或矿尘爆炸的场所使用，常用于非煤矿山</w:t>
            </w:r>
          </w:p>
        </w:tc>
      </w:tr>
      <w:tr>
        <w:tblPrEx>
          <w:tblLayout w:type="fixed"/>
          <w:tblCellMar>
            <w:top w:w="0" w:type="dxa"/>
            <w:left w:w="0" w:type="dxa"/>
            <w:bottom w:w="0" w:type="dxa"/>
            <w:right w:w="0" w:type="dxa"/>
          </w:tblCellMar>
        </w:tblPrEx>
        <w:trPr>
          <w:trHeight w:val="316" w:hRule="atLeast"/>
        </w:trPr>
        <w:tc>
          <w:tcPr>
            <w:tcW w:w="465"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导爆索</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导爆索可用来传递爆轰波并直接引爆炸药或与之相连的另一根导爆索</w:t>
            </w:r>
          </w:p>
        </w:tc>
      </w:tr>
      <w:tr>
        <w:tblPrEx>
          <w:tblLayout w:type="fixed"/>
          <w:tblCellMar>
            <w:top w:w="0" w:type="dxa"/>
            <w:left w:w="0" w:type="dxa"/>
            <w:bottom w:w="0" w:type="dxa"/>
            <w:right w:w="0" w:type="dxa"/>
          </w:tblCellMar>
        </w:tblPrEx>
        <w:trPr>
          <w:trHeight w:val="638" w:hRule="atLeast"/>
        </w:trPr>
        <w:tc>
          <w:tcPr>
            <w:tcW w:w="465"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起爆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器材</w:t>
            </w:r>
          </w:p>
          <w:p>
            <w:pPr>
              <w:autoSpaceDE w:val="0"/>
              <w:autoSpaceDN w:val="0"/>
              <w:rPr>
                <w:rFonts w:hint="eastAsia" w:ascii="微软雅黑" w:hAnsi="微软雅黑" w:eastAsia="微软雅黑" w:cs="微软雅黑"/>
                <w:color w:val="000000"/>
                <w:kern w:val="0"/>
                <w:sz w:val="18"/>
                <w:szCs w:val="18"/>
              </w:rPr>
            </w:pP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继爆管</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继爆管是专门与导爆索配合使用的延期起爆器材，借助于继爆管的微差延期继爆作用与导爆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索一起实现微差爆破</w:t>
            </w:r>
          </w:p>
        </w:tc>
      </w:tr>
      <w:tr>
        <w:tblPrEx>
          <w:tblLayout w:type="fixed"/>
          <w:tblCellMar>
            <w:top w:w="0" w:type="dxa"/>
            <w:left w:w="0" w:type="dxa"/>
            <w:bottom w:w="0" w:type="dxa"/>
            <w:right w:w="0" w:type="dxa"/>
          </w:tblCellMar>
        </w:tblPrEx>
        <w:trPr>
          <w:trHeight w:val="633" w:hRule="atLeast"/>
        </w:trPr>
        <w:tc>
          <w:tcPr>
            <w:tcW w:w="465" w:type="dxa"/>
            <w:vMerge w:val="continue"/>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导爆管</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导爆管是一种非电起爆器材，不能直接起爆炸药，只能传递爆轰波起爆雷管．由雷管引爆炸</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药。导爆管也不能用于有瓦斯或矿尘爆炸危险的作业场所</w:t>
            </w:r>
          </w:p>
        </w:tc>
      </w:tr>
      <w:tr>
        <w:tblPrEx>
          <w:tblLayout w:type="fixed"/>
          <w:tblCellMar>
            <w:top w:w="0" w:type="dxa"/>
            <w:left w:w="0" w:type="dxa"/>
            <w:bottom w:w="0" w:type="dxa"/>
            <w:right w:w="0" w:type="dxa"/>
          </w:tblCellMar>
        </w:tblPrEx>
        <w:trPr>
          <w:trHeight w:val="648" w:hRule="atLeast"/>
        </w:trPr>
        <w:tc>
          <w:tcPr>
            <w:tcW w:w="46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爆破</w:t>
            </w: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爆破材料</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的储存</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爆破器材必须存放在爆破器材库里。爆破器材库由专门存放爆破器材的主要建构筑物和爆破</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器材的发放、管理、防护和办公等辅助设施组成</w:t>
            </w:r>
          </w:p>
        </w:tc>
      </w:tr>
      <w:tr>
        <w:tblPrEx>
          <w:tblLayout w:type="fixed"/>
          <w:tblCellMar>
            <w:top w:w="0" w:type="dxa"/>
            <w:left w:w="0" w:type="dxa"/>
            <w:bottom w:w="0" w:type="dxa"/>
            <w:right w:w="0" w:type="dxa"/>
          </w:tblCellMar>
        </w:tblPrEx>
        <w:trPr>
          <w:trHeight w:val="638" w:hRule="atLeast"/>
        </w:trPr>
        <w:tc>
          <w:tcPr>
            <w:tcW w:w="46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材料</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的安</w:t>
            </w: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爆破材料</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的运输</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爆破器材运输过程中的主要安全要求是防火、防震、防潮、防冻和防殉爆</w:t>
            </w:r>
          </w:p>
        </w:tc>
      </w:tr>
      <w:tr>
        <w:tblPrEx>
          <w:tblLayout w:type="fixed"/>
          <w:tblCellMar>
            <w:top w:w="0" w:type="dxa"/>
            <w:left w:w="0" w:type="dxa"/>
            <w:bottom w:w="0" w:type="dxa"/>
            <w:right w:w="0" w:type="dxa"/>
          </w:tblCellMar>
        </w:tblPrEx>
        <w:trPr>
          <w:trHeight w:val="628" w:hRule="atLeast"/>
        </w:trPr>
        <w:tc>
          <w:tcPr>
            <w:tcW w:w="465" w:type="dxa"/>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理</w:t>
            </w:r>
          </w:p>
          <w:p>
            <w:pPr>
              <w:autoSpaceDE w:val="0"/>
              <w:autoSpaceDN w:val="0"/>
              <w:rPr>
                <w:rFonts w:hint="eastAsia" w:ascii="微软雅黑" w:hAnsi="微软雅黑" w:eastAsia="微软雅黑" w:cs="微软雅黑"/>
                <w:color w:val="000000"/>
                <w:kern w:val="0"/>
                <w:sz w:val="18"/>
                <w:szCs w:val="18"/>
              </w:rPr>
            </w:pPr>
          </w:p>
        </w:tc>
        <w:tc>
          <w:tcPr>
            <w:tcW w:w="1123"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井下爆破作</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业的安全要求</w:t>
            </w: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井下爆破作业必须使用符合国家标准或行业标准的爆破器材</w:t>
            </w:r>
          </w:p>
        </w:tc>
      </w:tr>
    </w:tbl>
    <w:p>
      <w:pPr>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考点三</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地下矿山通风技术(表7—3)</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表7—3地下矿山通风技术</w:t>
      </w:r>
    </w:p>
    <w:tbl>
      <w:tblPr>
        <w:tblStyle w:val="4"/>
        <w:tblW w:w="8409" w:type="dxa"/>
        <w:tblInd w:w="15" w:type="dxa"/>
        <w:tblLayout w:type="fixed"/>
        <w:tblCellMar>
          <w:top w:w="0" w:type="dxa"/>
          <w:left w:w="0" w:type="dxa"/>
          <w:bottom w:w="0" w:type="dxa"/>
          <w:right w:w="0" w:type="dxa"/>
        </w:tblCellMar>
      </w:tblPr>
      <w:tblGrid>
        <w:gridCol w:w="388"/>
        <w:gridCol w:w="394"/>
        <w:gridCol w:w="10"/>
        <w:gridCol w:w="787"/>
        <w:gridCol w:w="9"/>
        <w:gridCol w:w="6812"/>
        <w:gridCol w:w="9"/>
      </w:tblGrid>
      <w:tr>
        <w:tblPrEx>
          <w:tblLayout w:type="fixed"/>
          <w:tblCellMar>
            <w:top w:w="0" w:type="dxa"/>
            <w:left w:w="0" w:type="dxa"/>
            <w:bottom w:w="0" w:type="dxa"/>
            <w:right w:w="0" w:type="dxa"/>
          </w:tblCellMar>
        </w:tblPrEx>
        <w:trPr>
          <w:gridAfter w:val="1"/>
          <w:wAfter w:w="9" w:type="dxa"/>
          <w:trHeight w:val="302" w:hRule="atLeast"/>
        </w:trPr>
        <w:tc>
          <w:tcPr>
            <w:tcW w:w="1579" w:type="dxa"/>
            <w:gridSpan w:val="4"/>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gridAfter w:val="1"/>
          <w:wAfter w:w="9" w:type="dxa"/>
          <w:trHeight w:val="811" w:hRule="atLeast"/>
        </w:trPr>
        <w:tc>
          <w:tcPr>
            <w:tcW w:w="388"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地下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矿山</w:t>
            </w:r>
          </w:p>
        </w:tc>
        <w:tc>
          <w:tcPr>
            <w:tcW w:w="1191" w:type="dxa"/>
            <w:gridSpan w:val="3"/>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地下矿山</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通风的目的</w:t>
            </w:r>
          </w:p>
          <w:p>
            <w:pPr>
              <w:autoSpaceDE w:val="0"/>
              <w:autoSpaceDN w:val="0"/>
              <w:rPr>
                <w:rFonts w:hint="eastAsia" w:ascii="微软雅黑" w:hAnsi="微软雅黑" w:eastAsia="微软雅黑" w:cs="微软雅黑"/>
                <w:color w:val="000000"/>
                <w:kern w:val="0"/>
                <w:sz w:val="18"/>
                <w:szCs w:val="18"/>
              </w:rPr>
            </w:pP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在正常生产时期，保证向地下矿山各用风地点输送足够数量的新鲜空气，用以稀释有毒有害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气体，排除矿尘和保持良好的工作环境，确保地下矿山安全生产；在发生灾变时，能有效、及</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时地控制风向及风量，并与其他措施结合。防止灾害扩大</w:t>
            </w:r>
          </w:p>
        </w:tc>
      </w:tr>
      <w:tr>
        <w:tblPrEx>
          <w:tblLayout w:type="fixed"/>
          <w:tblCellMar>
            <w:top w:w="0" w:type="dxa"/>
            <w:left w:w="0" w:type="dxa"/>
            <w:bottom w:w="0" w:type="dxa"/>
            <w:right w:w="0" w:type="dxa"/>
          </w:tblCellMar>
        </w:tblPrEx>
        <w:trPr>
          <w:gridAfter w:val="1"/>
          <w:wAfter w:w="9" w:type="dxa"/>
          <w:trHeight w:val="638" w:hRule="atLeast"/>
        </w:trPr>
        <w:tc>
          <w:tcPr>
            <w:tcW w:w="388"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通风</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系统</w:t>
            </w:r>
          </w:p>
        </w:tc>
        <w:tc>
          <w:tcPr>
            <w:tcW w:w="394" w:type="dxa"/>
            <w:tcBorders>
              <w:top w:val="single" w:color="auto" w:sz="8" w:space="0"/>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地下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矿山</w:t>
            </w:r>
          </w:p>
          <w:p>
            <w:pPr>
              <w:autoSpaceDE w:val="0"/>
              <w:autoSpaceDN w:val="0"/>
              <w:rPr>
                <w:rFonts w:hint="eastAsia" w:ascii="微软雅黑" w:hAnsi="微软雅黑" w:eastAsia="微软雅黑" w:cs="微软雅黑"/>
                <w:color w:val="000000"/>
                <w:kern w:val="0"/>
                <w:sz w:val="18"/>
                <w:szCs w:val="18"/>
              </w:rPr>
            </w:pPr>
          </w:p>
        </w:tc>
        <w:tc>
          <w:tcPr>
            <w:tcW w:w="797"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通风方式</w:t>
            </w:r>
          </w:p>
          <w:p>
            <w:pPr>
              <w:autoSpaceDE w:val="0"/>
              <w:autoSpaceDN w:val="0"/>
              <w:rPr>
                <w:rFonts w:hint="eastAsia" w:ascii="微软雅黑" w:hAnsi="微软雅黑" w:eastAsia="微软雅黑" w:cs="微软雅黑"/>
                <w:color w:val="000000"/>
                <w:kern w:val="0"/>
                <w:sz w:val="18"/>
                <w:szCs w:val="18"/>
              </w:rPr>
            </w:pP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根据进风井和出风井的布置方式．地下矿山通风系统的类型可以分为中央式</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中央并列式和</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中央分列式</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、埘角式</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两翼对角式和分区对角式</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和混合式</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类</w:t>
            </w:r>
          </w:p>
        </w:tc>
      </w:tr>
      <w:tr>
        <w:tblPrEx>
          <w:tblLayout w:type="fixed"/>
          <w:tblCellMar>
            <w:top w:w="0" w:type="dxa"/>
            <w:left w:w="0" w:type="dxa"/>
            <w:bottom w:w="0" w:type="dxa"/>
            <w:right w:w="0" w:type="dxa"/>
          </w:tblCellMar>
        </w:tblPrEx>
        <w:trPr>
          <w:gridAfter w:val="1"/>
          <w:wAfter w:w="9" w:type="dxa"/>
          <w:trHeight w:val="312" w:hRule="atLeast"/>
        </w:trPr>
        <w:tc>
          <w:tcPr>
            <w:tcW w:w="388" w:type="dxa"/>
            <w:vMerge w:val="continue"/>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394" w:type="dxa"/>
            <w:tcBorders>
              <w:top w:val="nil"/>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通风</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系统</w:t>
            </w:r>
          </w:p>
        </w:tc>
        <w:tc>
          <w:tcPr>
            <w:tcW w:w="797" w:type="dxa"/>
            <w:gridSpan w:val="2"/>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通风方法</w:t>
            </w:r>
          </w:p>
        </w:tc>
        <w:tc>
          <w:tcPr>
            <w:tcW w:w="6821"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根据主要通风机的工作方法，地下矿山通风方式分为抽出式、压人式和压抽混合式</w:t>
            </w:r>
          </w:p>
        </w:tc>
      </w:tr>
      <w:tr>
        <w:tblPrEx>
          <w:tblLayout w:type="fixed"/>
          <w:tblCellMar>
            <w:top w:w="0" w:type="dxa"/>
            <w:left w:w="0" w:type="dxa"/>
            <w:bottom w:w="0" w:type="dxa"/>
            <w:right w:w="0" w:type="dxa"/>
          </w:tblCellMar>
        </w:tblPrEx>
        <w:trPr>
          <w:trHeight w:val="307" w:hRule="atLeast"/>
        </w:trPr>
        <w:tc>
          <w:tcPr>
            <w:tcW w:w="1588" w:type="dxa"/>
            <w:gridSpan w:val="5"/>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28" w:hRule="atLeast"/>
        </w:trPr>
        <w:tc>
          <w:tcPr>
            <w:tcW w:w="388"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地下</w:t>
            </w:r>
          </w:p>
          <w:p>
            <w:pPr>
              <w:autoSpaceDE w:val="0"/>
              <w:autoSpaceDN w:val="0"/>
              <w:rPr>
                <w:rFonts w:hint="eastAsia" w:ascii="微软雅黑" w:hAnsi="微软雅黑" w:eastAsia="微软雅黑" w:cs="微软雅黑"/>
                <w:color w:val="000000"/>
                <w:kern w:val="0"/>
                <w:sz w:val="18"/>
                <w:szCs w:val="18"/>
              </w:rPr>
            </w:pPr>
          </w:p>
        </w:tc>
        <w:tc>
          <w:tcPr>
            <w:tcW w:w="1200" w:type="dxa"/>
            <w:gridSpan w:val="4"/>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地下矿山漏风</w:t>
            </w:r>
          </w:p>
          <w:p>
            <w:pPr>
              <w:autoSpaceDE w:val="0"/>
              <w:autoSpaceDN w:val="0"/>
              <w:rPr>
                <w:rFonts w:hint="eastAsia" w:ascii="微软雅黑" w:hAnsi="微软雅黑" w:eastAsia="微软雅黑" w:cs="微软雅黑"/>
                <w:color w:val="000000"/>
                <w:kern w:val="0"/>
                <w:sz w:val="18"/>
                <w:szCs w:val="18"/>
              </w:rPr>
            </w:pP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是指通风系统中风流沿某些细小通道与回风巷或地面发生渗漏的短路现象。产生漏风的条件</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是有漏风通道并在其两端有压力差存在</w:t>
            </w:r>
          </w:p>
        </w:tc>
      </w:tr>
      <w:tr>
        <w:tblPrEx>
          <w:tblLayout w:type="fixed"/>
          <w:tblCellMar>
            <w:top w:w="0" w:type="dxa"/>
            <w:left w:w="0" w:type="dxa"/>
            <w:bottom w:w="0" w:type="dxa"/>
            <w:right w:w="0" w:type="dxa"/>
          </w:tblCellMar>
        </w:tblPrEx>
        <w:trPr>
          <w:trHeight w:val="312" w:hRule="atLeast"/>
        </w:trPr>
        <w:tc>
          <w:tcPr>
            <w:tcW w:w="388"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矿山</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通风</w:t>
            </w:r>
          </w:p>
        </w:tc>
        <w:tc>
          <w:tcPr>
            <w:tcW w:w="404" w:type="dxa"/>
            <w:gridSpan w:val="2"/>
            <w:tcBorders>
              <w:top w:val="single" w:color="auto" w:sz="8" w:space="0"/>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地下</w:t>
            </w:r>
          </w:p>
        </w:tc>
        <w:tc>
          <w:tcPr>
            <w:tcW w:w="796"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全矿性反风</w:t>
            </w: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全矿性反风是指井下各主要风道的风流全部反向的反风</w:t>
            </w:r>
          </w:p>
        </w:tc>
      </w:tr>
      <w:tr>
        <w:tblPrEx>
          <w:tblLayout w:type="fixed"/>
          <w:tblCellMar>
            <w:top w:w="0" w:type="dxa"/>
            <w:left w:w="0" w:type="dxa"/>
            <w:bottom w:w="0" w:type="dxa"/>
            <w:right w:w="0" w:type="dxa"/>
          </w:tblCellMar>
        </w:tblPrEx>
        <w:trPr>
          <w:trHeight w:val="638" w:hRule="atLeast"/>
        </w:trPr>
        <w:tc>
          <w:tcPr>
            <w:tcW w:w="388"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系统</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404" w:type="dxa"/>
            <w:gridSpan w:val="2"/>
            <w:tcBorders>
              <w:top w:val="nil"/>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矿山</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反风</w:t>
            </w:r>
          </w:p>
        </w:tc>
        <w:tc>
          <w:tcPr>
            <w:tcW w:w="796"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局部反风</w:t>
            </w:r>
          </w:p>
          <w:p>
            <w:pPr>
              <w:autoSpaceDE w:val="0"/>
              <w:autoSpaceDN w:val="0"/>
              <w:rPr>
                <w:rFonts w:hint="eastAsia" w:ascii="微软雅黑" w:hAnsi="微软雅黑" w:eastAsia="微软雅黑" w:cs="微软雅黑"/>
                <w:color w:val="000000"/>
                <w:kern w:val="0"/>
                <w:sz w:val="18"/>
                <w:szCs w:val="18"/>
              </w:rPr>
            </w:pP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在采区内部发生灾害时，维持主要通风机正常运转，主要进风风道风向不变，利用风门开启</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或关闭造成采区内部风流反向的反风</w:t>
            </w:r>
          </w:p>
        </w:tc>
      </w:tr>
      <w:tr>
        <w:tblPrEx>
          <w:tblLayout w:type="fixed"/>
          <w:tblCellMar>
            <w:top w:w="0" w:type="dxa"/>
            <w:left w:w="0" w:type="dxa"/>
            <w:bottom w:w="0" w:type="dxa"/>
            <w:right w:w="0" w:type="dxa"/>
          </w:tblCellMar>
        </w:tblPrEx>
        <w:trPr>
          <w:trHeight w:val="801" w:hRule="atLeast"/>
        </w:trPr>
        <w:tc>
          <w:tcPr>
            <w:tcW w:w="388"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200" w:type="dxa"/>
            <w:gridSpan w:val="4"/>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煤矿矿井</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风量计算</w:t>
            </w:r>
          </w:p>
          <w:p>
            <w:pPr>
              <w:autoSpaceDE w:val="0"/>
              <w:autoSpaceDN w:val="0"/>
              <w:rPr>
                <w:rFonts w:hint="eastAsia" w:ascii="微软雅黑" w:hAnsi="微软雅黑" w:eastAsia="微软雅黑" w:cs="微软雅黑"/>
                <w:color w:val="000000"/>
                <w:kern w:val="0"/>
                <w:sz w:val="18"/>
                <w:szCs w:val="18"/>
              </w:rPr>
            </w:pP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煤矿矿井风量按下列要求分别计算，并选取其中的最大值：</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按井下同时工作的最多人数计算，每人每分钟供风量不少于</w:t>
            </w:r>
            <w:r>
              <w:rPr>
                <w:rFonts w:hint="eastAsia" w:ascii="微软雅黑" w:hAnsi="微软雅黑" w:eastAsia="微软雅黑" w:cs="微软雅黑"/>
                <w:color w:val="000000"/>
                <w:kern w:val="0"/>
                <w:sz w:val="18"/>
                <w:szCs w:val="18"/>
              </w:rPr>
              <w:t>4m</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按采煤、掘进、硐室和其他地点实际需要风量的总和进行计算</w:t>
            </w:r>
          </w:p>
        </w:tc>
      </w:tr>
      <w:tr>
        <w:tblPrEx>
          <w:tblLayout w:type="fixed"/>
          <w:tblCellMar>
            <w:top w:w="0" w:type="dxa"/>
            <w:left w:w="0" w:type="dxa"/>
            <w:bottom w:w="0" w:type="dxa"/>
            <w:right w:w="0" w:type="dxa"/>
          </w:tblCellMar>
        </w:tblPrEx>
        <w:trPr>
          <w:trHeight w:val="1915" w:hRule="atLeast"/>
        </w:trPr>
        <w:tc>
          <w:tcPr>
            <w:tcW w:w="388"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地下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矿山</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风量</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计算</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及通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风参</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数测</w:t>
            </w:r>
          </w:p>
        </w:tc>
        <w:tc>
          <w:tcPr>
            <w:tcW w:w="1200" w:type="dxa"/>
            <w:gridSpan w:val="4"/>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金属非金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属地下矿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山风量计算</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金属非金属地下矿山风量按下列要求分别计算．并选取其中的最大值：</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按井下同时工作的最多人数计算，每人每分钟供风量不少于</w:t>
            </w:r>
            <w:r>
              <w:rPr>
                <w:rFonts w:hint="eastAsia" w:ascii="微软雅黑" w:hAnsi="微软雅黑" w:eastAsia="微软雅黑" w:cs="微软雅黑"/>
                <w:color w:val="000000"/>
                <w:kern w:val="0"/>
                <w:sz w:val="18"/>
                <w:szCs w:val="18"/>
              </w:rPr>
              <w:t>4m3</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按排尘风速计算。硐室型采场最低风速不小于</w:t>
            </w:r>
            <w:r>
              <w:rPr>
                <w:rFonts w:hint="eastAsia" w:ascii="微软雅黑" w:hAnsi="微软雅黑" w:eastAsia="微软雅黑" w:cs="微软雅黑"/>
                <w:color w:val="000000"/>
                <w:kern w:val="0"/>
                <w:sz w:val="18"/>
                <w:szCs w:val="18"/>
              </w:rPr>
              <w:t>0.15m</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s</w:t>
            </w:r>
            <w:r>
              <w:rPr>
                <w:rFonts w:hint="eastAsia" w:ascii="微软雅黑" w:hAnsi="微软雅黑" w:eastAsia="微软雅黑" w:cs="微软雅黑"/>
                <w:color w:val="000000"/>
                <w:kern w:val="0"/>
                <w:sz w:val="18"/>
                <w:szCs w:val="18"/>
              </w:rPr>
              <w:t>，巷道型采场和掘进巷道不小于</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0.25m</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s</w:t>
            </w:r>
            <w:r>
              <w:rPr>
                <w:rFonts w:hint="eastAsia" w:ascii="微软雅黑" w:hAnsi="微软雅黑" w:eastAsia="微软雅黑" w:cs="微软雅黑"/>
                <w:color w:val="000000"/>
                <w:kern w:val="0"/>
                <w:sz w:val="18"/>
                <w:szCs w:val="18"/>
              </w:rPr>
              <w:t>；电耙道和二次破碎硐室巷道不小于</w:t>
            </w:r>
            <w:r>
              <w:rPr>
                <w:rFonts w:hint="eastAsia" w:ascii="微软雅黑" w:hAnsi="微软雅黑" w:eastAsia="微软雅黑" w:cs="微软雅黑"/>
                <w:color w:val="000000"/>
                <w:kern w:val="0"/>
                <w:sz w:val="18"/>
                <w:szCs w:val="18"/>
              </w:rPr>
              <w:t>0.5m</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s</w:t>
            </w:r>
            <w:r>
              <w:rPr>
                <w:rFonts w:hint="eastAsia" w:ascii="微软雅黑" w:hAnsi="微软雅黑" w:eastAsia="微软雅黑" w:cs="微软雅黑"/>
                <w:color w:val="000000"/>
                <w:kern w:val="0"/>
                <w:sz w:val="18"/>
                <w:szCs w:val="18"/>
              </w:rPr>
              <w:t>；箕斗硐室、破碎硐室等作业地点，可根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据具体条件，在保证作业地点空气中有害物质的接触限值符合《工业场所有害因素职业接触限</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值》</w:t>
            </w:r>
            <w:r>
              <w:rPr>
                <w:rFonts w:hint="eastAsia" w:ascii="微软雅黑" w:hAnsi="微软雅黑" w:eastAsia="微软雅黑" w:cs="微软雅黑"/>
                <w:color w:val="000000"/>
                <w:kern w:val="0"/>
                <w:sz w:val="18"/>
                <w:szCs w:val="18"/>
              </w:rPr>
              <w:t>(GBZ 2</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2007)</w:t>
            </w:r>
            <w:r>
              <w:rPr>
                <w:rFonts w:hint="eastAsia" w:ascii="微软雅黑" w:hAnsi="微软雅黑" w:eastAsia="微软雅黑" w:cs="微软雅黑"/>
                <w:color w:val="000000"/>
                <w:kern w:val="0"/>
                <w:sz w:val="18"/>
                <w:szCs w:val="18"/>
              </w:rPr>
              <w:t>的前提下，分别采用计算风量的排尘风速。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有柴油设备运行的地下矿山，按同时作业机台数供风量</w:t>
            </w:r>
            <w:r>
              <w:rPr>
                <w:rFonts w:hint="eastAsia" w:ascii="微软雅黑" w:hAnsi="微软雅黑" w:eastAsia="微软雅黑" w:cs="微软雅黑"/>
                <w:color w:val="000000"/>
                <w:kern w:val="0"/>
                <w:sz w:val="18"/>
                <w:szCs w:val="18"/>
              </w:rPr>
              <w:t>4m3</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kw</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min</w:t>
            </w:r>
            <w:r>
              <w:rPr>
                <w:rFonts w:hint="eastAsia" w:ascii="微软雅黑" w:hAnsi="微软雅黑" w:eastAsia="微软雅黑" w:cs="微软雅黑"/>
                <w:color w:val="000000"/>
                <w:kern w:val="0"/>
                <w:sz w:val="18"/>
                <w:szCs w:val="18"/>
              </w:rPr>
              <w:t>计算</w:t>
            </w:r>
          </w:p>
        </w:tc>
      </w:tr>
      <w:tr>
        <w:tblPrEx>
          <w:tblLayout w:type="fixed"/>
          <w:tblCellMar>
            <w:top w:w="0" w:type="dxa"/>
            <w:left w:w="0" w:type="dxa"/>
            <w:bottom w:w="0" w:type="dxa"/>
            <w:right w:w="0" w:type="dxa"/>
          </w:tblCellMar>
        </w:tblPrEx>
        <w:trPr>
          <w:trHeight w:val="321" w:hRule="atLeast"/>
        </w:trPr>
        <w:tc>
          <w:tcPr>
            <w:tcW w:w="388"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疋</w:t>
            </w:r>
          </w:p>
          <w:p>
            <w:pPr>
              <w:autoSpaceDE w:val="0"/>
              <w:autoSpaceDN w:val="0"/>
              <w:rPr>
                <w:rFonts w:hint="eastAsia" w:ascii="微软雅黑" w:hAnsi="微软雅黑" w:eastAsia="微软雅黑" w:cs="微软雅黑"/>
                <w:color w:val="000000"/>
                <w:kern w:val="0"/>
                <w:sz w:val="18"/>
                <w:szCs w:val="18"/>
              </w:rPr>
            </w:pPr>
          </w:p>
        </w:tc>
        <w:tc>
          <w:tcPr>
            <w:tcW w:w="404" w:type="dxa"/>
            <w:gridSpan w:val="2"/>
            <w:tcBorders>
              <w:top w:val="single" w:color="auto" w:sz="8" w:space="0"/>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通风</w:t>
            </w:r>
          </w:p>
        </w:tc>
        <w:tc>
          <w:tcPr>
            <w:tcW w:w="796"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压力</w:t>
            </w: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总机械能</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总压力</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是地下矿山风流在井巷某断面具有的</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静</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压能、位能和动能的总和</w:t>
            </w:r>
          </w:p>
        </w:tc>
      </w:tr>
      <w:tr>
        <w:tblPrEx>
          <w:tblLayout w:type="fixed"/>
          <w:tblCellMar>
            <w:top w:w="0" w:type="dxa"/>
            <w:left w:w="0" w:type="dxa"/>
            <w:bottom w:w="0" w:type="dxa"/>
            <w:right w:w="0" w:type="dxa"/>
          </w:tblCellMar>
        </w:tblPrEx>
        <w:trPr>
          <w:trHeight w:val="638" w:hRule="atLeast"/>
        </w:trPr>
        <w:tc>
          <w:tcPr>
            <w:tcW w:w="388" w:type="dxa"/>
            <w:vMerge w:val="continue"/>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404" w:type="dxa"/>
            <w:gridSpan w:val="2"/>
            <w:tcBorders>
              <w:top w:val="nil"/>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参数</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测定</w:t>
            </w:r>
          </w:p>
        </w:tc>
        <w:tc>
          <w:tcPr>
            <w:tcW w:w="796"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风速</w:t>
            </w:r>
          </w:p>
          <w:p>
            <w:pPr>
              <w:autoSpaceDE w:val="0"/>
              <w:autoSpaceDN w:val="0"/>
              <w:rPr>
                <w:rFonts w:hint="eastAsia" w:ascii="微软雅黑" w:hAnsi="微软雅黑" w:eastAsia="微软雅黑" w:cs="微软雅黑"/>
                <w:color w:val="000000"/>
                <w:kern w:val="0"/>
                <w:sz w:val="18"/>
                <w:szCs w:val="18"/>
              </w:rPr>
            </w:pP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风速的测定采用风表，风表一般分为高速风表</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10m</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s)</w:t>
            </w:r>
            <w:r>
              <w:rPr>
                <w:rFonts w:hint="eastAsia" w:ascii="微软雅黑" w:hAnsi="微软雅黑" w:eastAsia="微软雅黑" w:cs="微软雅黑"/>
                <w:color w:val="000000"/>
                <w:kern w:val="0"/>
                <w:sz w:val="18"/>
                <w:szCs w:val="18"/>
              </w:rPr>
              <w:t>、中速风表</w:t>
            </w:r>
            <w:r>
              <w:rPr>
                <w:rFonts w:hint="eastAsia" w:ascii="微软雅黑" w:hAnsi="微软雅黑" w:eastAsia="微软雅黑" w:cs="微软雅黑"/>
                <w:color w:val="000000"/>
                <w:kern w:val="0"/>
                <w:sz w:val="18"/>
                <w:szCs w:val="18"/>
              </w:rPr>
              <w:t>(0.5</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10m</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s)</w:t>
            </w:r>
            <w:r>
              <w:rPr>
                <w:rFonts w:hint="eastAsia" w:ascii="微软雅黑" w:hAnsi="微软雅黑" w:eastAsia="微软雅黑" w:cs="微软雅黑"/>
                <w:color w:val="000000"/>
                <w:kern w:val="0"/>
                <w:sz w:val="18"/>
                <w:szCs w:val="18"/>
              </w:rPr>
              <w:t>和微速</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风表</w:t>
            </w:r>
            <w:r>
              <w:rPr>
                <w:rFonts w:hint="eastAsia" w:ascii="微软雅黑" w:hAnsi="微软雅黑" w:eastAsia="微软雅黑" w:cs="微软雅黑"/>
                <w:color w:val="000000"/>
                <w:kern w:val="0"/>
                <w:sz w:val="18"/>
                <w:szCs w:val="18"/>
              </w:rPr>
              <w:t>(0.3</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O</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5m</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s)</w:t>
            </w:r>
          </w:p>
        </w:tc>
      </w:tr>
      <w:tr>
        <w:tblPrEx>
          <w:tblLayout w:type="fixed"/>
          <w:tblCellMar>
            <w:top w:w="0" w:type="dxa"/>
            <w:left w:w="0" w:type="dxa"/>
            <w:bottom w:w="0" w:type="dxa"/>
            <w:right w:w="0" w:type="dxa"/>
          </w:tblCellMar>
        </w:tblPrEx>
        <w:trPr>
          <w:trHeight w:val="2712" w:hRule="atLeast"/>
        </w:trPr>
        <w:tc>
          <w:tcPr>
            <w:tcW w:w="1588" w:type="dxa"/>
            <w:gridSpan w:val="5"/>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局部通风技术</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按通风动力形式的不同，可分为局部通风机通风、地下矿山全风压通风和引射器通风，其中</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以局部通风机通风最为常用。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地下矿山局部通风的安全管理规定：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瓦斯喷出和煤</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岩</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与瓦斯</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二氧化碳</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突出煤层的掘进通风方式必须采用压入式。</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压入式局部通风机和启动装置，必须安装在进风巷道中．距掘进巷道回风口不得小</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于</w:t>
            </w:r>
            <w:r>
              <w:rPr>
                <w:rFonts w:hint="eastAsia" w:ascii="微软雅黑" w:hAnsi="微软雅黑" w:eastAsia="微软雅黑" w:cs="微软雅黑"/>
                <w:color w:val="000000"/>
                <w:kern w:val="0"/>
                <w:sz w:val="18"/>
                <w:szCs w:val="18"/>
              </w:rPr>
              <w:t>10m</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瓦斯喷出区域、高瓦斯地下矿山、煤</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岩</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与瓦斯</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二氧化碳</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突出地下矿山中，掘进</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工作面的局部通风机应采用三专</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专用变压器、专用开关、专用线路</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供电。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严禁使用</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台以上</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含</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台</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的局部通风机同时向</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个掘进工作面供风。不得使用</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局部通风机同时向</w:t>
            </w: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个掘进工作面供风。</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恢复通风前，必须检查瓦斯</w:t>
            </w:r>
          </w:p>
        </w:tc>
      </w:tr>
    </w:tbl>
    <w:p>
      <w:pPr>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考点四</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瓦斯及其防治技术(表7—4)</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7—4瓦斯及其防治技术</w:t>
      </w:r>
    </w:p>
    <w:tbl>
      <w:tblPr>
        <w:tblStyle w:val="4"/>
        <w:tblW w:w="8409" w:type="dxa"/>
        <w:tblInd w:w="15" w:type="dxa"/>
        <w:tblLayout w:type="fixed"/>
        <w:tblCellMar>
          <w:top w:w="0" w:type="dxa"/>
          <w:left w:w="0" w:type="dxa"/>
          <w:bottom w:w="0" w:type="dxa"/>
          <w:right w:w="0" w:type="dxa"/>
        </w:tblCellMar>
      </w:tblPr>
      <w:tblGrid>
        <w:gridCol w:w="475"/>
        <w:gridCol w:w="77"/>
        <w:gridCol w:w="556"/>
        <w:gridCol w:w="480"/>
        <w:gridCol w:w="6821"/>
      </w:tblGrid>
      <w:tr>
        <w:tblPrEx>
          <w:tblLayout w:type="fixed"/>
          <w:tblCellMar>
            <w:top w:w="0" w:type="dxa"/>
            <w:left w:w="0" w:type="dxa"/>
            <w:bottom w:w="0" w:type="dxa"/>
            <w:right w:w="0" w:type="dxa"/>
          </w:tblCellMar>
        </w:tblPrEx>
        <w:trPr>
          <w:trHeight w:val="297" w:hRule="atLeast"/>
        </w:trPr>
        <w:tc>
          <w:tcPr>
            <w:tcW w:w="1588" w:type="dxa"/>
            <w:gridSpan w:val="4"/>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21" w:hRule="atLeast"/>
        </w:trPr>
        <w:tc>
          <w:tcPr>
            <w:tcW w:w="475" w:type="dxa"/>
            <w:vMerge w:val="restart"/>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3" w:type="dxa"/>
            <w:gridSpan w:val="3"/>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涌出的形式</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矿井瓦斯涌出形式可分普通涌出和特殊涌出两种</w:t>
            </w:r>
          </w:p>
        </w:tc>
      </w:tr>
      <w:tr>
        <w:tblPrEx>
          <w:tblLayout w:type="fixed"/>
          <w:tblCellMar>
            <w:top w:w="0" w:type="dxa"/>
            <w:left w:w="0" w:type="dxa"/>
            <w:bottom w:w="0" w:type="dxa"/>
            <w:right w:w="0" w:type="dxa"/>
          </w:tblCellMar>
        </w:tblPrEx>
        <w:trPr>
          <w:trHeight w:val="633" w:hRule="atLeast"/>
        </w:trPr>
        <w:tc>
          <w:tcPr>
            <w:tcW w:w="475"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3" w:type="dxa"/>
            <w:gridSpan w:val="3"/>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主要因素</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影响矿井瓦斯涌出量的因素主要有煤层瓦斯含量、开采规模、开采程序、采煤方法与顶板管</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理方法、生产工序、地面大气压力的变化、通风方式和采空区管理方法等</w:t>
            </w:r>
          </w:p>
        </w:tc>
      </w:tr>
      <w:tr>
        <w:tblPrEx>
          <w:tblLayout w:type="fixed"/>
          <w:tblCellMar>
            <w:top w:w="0" w:type="dxa"/>
            <w:left w:w="0" w:type="dxa"/>
            <w:bottom w:w="0" w:type="dxa"/>
            <w:right w:w="0" w:type="dxa"/>
          </w:tblCellMar>
        </w:tblPrEx>
        <w:trPr>
          <w:trHeight w:val="3345" w:hRule="atLeast"/>
        </w:trPr>
        <w:tc>
          <w:tcPr>
            <w:tcW w:w="475"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矿井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瓦斯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涌出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及瓦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斯等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级</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113" w:type="dxa"/>
            <w:gridSpan w:val="3"/>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矿井瓦斯等级</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根据矿井相对瓦斯涌出量、矿井绝对瓦斯涌出量、丁作面绝对瓦斯涌出量和瓦斯涌出形式，</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矿井瓦斯等级划分为低瓦斯矿井、高瓦斯矿井及突出矿井。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低瓦斯矿井。同时满足下列条件的为低瓦斯矿井：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矿井相对瓦斯涌出量不大于</w:t>
            </w:r>
            <w:r>
              <w:rPr>
                <w:rFonts w:hint="eastAsia" w:ascii="微软雅黑" w:hAnsi="微软雅黑" w:eastAsia="微软雅黑" w:cs="微软雅黑"/>
                <w:color w:val="000000"/>
                <w:kern w:val="0"/>
                <w:sz w:val="18"/>
                <w:szCs w:val="18"/>
              </w:rPr>
              <w:t>10m3</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t</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矿井绝对瓦斯涌出量不大于</w:t>
            </w:r>
            <w:r>
              <w:rPr>
                <w:rFonts w:hint="eastAsia" w:ascii="微软雅黑" w:hAnsi="微软雅黑" w:eastAsia="微软雅黑" w:cs="微软雅黑"/>
                <w:color w:val="000000"/>
                <w:kern w:val="0"/>
                <w:sz w:val="18"/>
                <w:szCs w:val="18"/>
              </w:rPr>
              <w:t>40m3</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min</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矿井任一掘进工作面绝对瓦斯涌出量不大于</w:t>
            </w:r>
            <w:r>
              <w:rPr>
                <w:rFonts w:hint="eastAsia" w:ascii="微软雅黑" w:hAnsi="微软雅黑" w:eastAsia="微软雅黑" w:cs="微软雅黑"/>
                <w:color w:val="000000"/>
                <w:kern w:val="0"/>
                <w:sz w:val="18"/>
                <w:szCs w:val="18"/>
              </w:rPr>
              <w:t>3m3</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min</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矿井任一采煤工作面绝对瓦斯涌出量不大于</w:t>
            </w:r>
            <w:r>
              <w:rPr>
                <w:rFonts w:hint="eastAsia" w:ascii="微软雅黑" w:hAnsi="微软雅黑" w:eastAsia="微软雅黑" w:cs="微软雅黑"/>
                <w:color w:val="000000"/>
                <w:kern w:val="0"/>
                <w:sz w:val="18"/>
                <w:szCs w:val="18"/>
              </w:rPr>
              <w:t>5m3</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min</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高瓦斯矿井。具备下列条件之一的为高瓦斯矿井：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矿井相对瓦斯涌出量大于</w:t>
            </w:r>
            <w:r>
              <w:rPr>
                <w:rFonts w:hint="eastAsia" w:ascii="微软雅黑" w:hAnsi="微软雅黑" w:eastAsia="微软雅黑" w:cs="微软雅黑"/>
                <w:color w:val="000000"/>
                <w:kern w:val="0"/>
                <w:sz w:val="18"/>
                <w:szCs w:val="18"/>
              </w:rPr>
              <w:t>1Om3</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t</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矿井绝对瓦斯涌出量大于</w:t>
            </w:r>
            <w:r>
              <w:rPr>
                <w:rFonts w:hint="eastAsia" w:ascii="微软雅黑" w:hAnsi="微软雅黑" w:eastAsia="微软雅黑" w:cs="微软雅黑"/>
                <w:color w:val="000000"/>
                <w:kern w:val="0"/>
                <w:sz w:val="18"/>
                <w:szCs w:val="18"/>
              </w:rPr>
              <w:t>40m3</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min</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矿井任一掘进工作面绝对瓦斯涌出量大于</w:t>
            </w:r>
            <w:r>
              <w:rPr>
                <w:rFonts w:hint="eastAsia" w:ascii="微软雅黑" w:hAnsi="微软雅黑" w:eastAsia="微软雅黑" w:cs="微软雅黑"/>
                <w:color w:val="000000"/>
                <w:kern w:val="0"/>
                <w:sz w:val="18"/>
                <w:szCs w:val="18"/>
              </w:rPr>
              <w:t>3m3</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min</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矿井任一采煤工作面绝对瓦斯涌出量大于</w:t>
            </w:r>
            <w:r>
              <w:rPr>
                <w:rFonts w:hint="eastAsia" w:ascii="微软雅黑" w:hAnsi="微软雅黑" w:eastAsia="微软雅黑" w:cs="微软雅黑"/>
                <w:color w:val="000000"/>
                <w:kern w:val="0"/>
                <w:sz w:val="18"/>
                <w:szCs w:val="18"/>
              </w:rPr>
              <w:t>5m3</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min</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突出矿井</w:t>
            </w:r>
          </w:p>
        </w:tc>
      </w:tr>
      <w:tr>
        <w:tblPrEx>
          <w:tblLayout w:type="fixed"/>
          <w:tblCellMar>
            <w:top w:w="0" w:type="dxa"/>
            <w:left w:w="0" w:type="dxa"/>
            <w:bottom w:w="0" w:type="dxa"/>
            <w:right w:w="0" w:type="dxa"/>
          </w:tblCellMar>
        </w:tblPrEx>
        <w:trPr>
          <w:trHeight w:val="1276" w:hRule="atLeast"/>
        </w:trPr>
        <w:tc>
          <w:tcPr>
            <w:tcW w:w="1588" w:type="dxa"/>
            <w:gridSpan w:val="4"/>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瓦斯喷出及预防</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地下矿山瓦斯喷出是指从煤体或岩体裂隙、孔洞或炮眼中大量瓦斯异常涌出的现象。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瓦斯喷出的预防：加强地下矿山地质工作，摸清采掘地区的地质构造情况；在可能发生喷出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的地区掘进巷道时，打前探钻子</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或抽排钻孔；加大喷出危险区域的风量；将喷出的瓦斯直接引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入回风巷或抽放瓦斯管路；掌握喷出的预兆，及时撤离工作人员，并配备自救器，安设压气自</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救系统；掌握矿压规律，避免矿压集中，及时处理顶板，以防大面积突然卸压造成瓦斯喷出</w:t>
            </w:r>
          </w:p>
        </w:tc>
      </w:tr>
      <w:tr>
        <w:tblPrEx>
          <w:tblLayout w:type="fixed"/>
          <w:tblCellMar>
            <w:top w:w="0" w:type="dxa"/>
            <w:left w:w="0" w:type="dxa"/>
            <w:bottom w:w="0" w:type="dxa"/>
            <w:right w:w="0" w:type="dxa"/>
          </w:tblCellMar>
        </w:tblPrEx>
        <w:trPr>
          <w:trHeight w:val="648" w:hRule="atLeast"/>
        </w:trPr>
        <w:tc>
          <w:tcPr>
            <w:tcW w:w="47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633" w:type="dxa"/>
            <w:gridSpan w:val="2"/>
            <w:tcBorders>
              <w:top w:val="single" w:color="auto" w:sz="8" w:space="0"/>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煤</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岩</w:t>
            </w:r>
            <w:r>
              <w:rPr>
                <w:rFonts w:hint="eastAsia" w:ascii="微软雅黑" w:hAnsi="微软雅黑" w:eastAsia="微软雅黑" w:cs="微软雅黑"/>
                <w:color w:val="000000"/>
                <w:kern w:val="0"/>
                <w:sz w:val="18"/>
                <w:szCs w:val="18"/>
              </w:rPr>
              <w:t>)</w:t>
            </w:r>
          </w:p>
        </w:tc>
        <w:tc>
          <w:tcPr>
            <w:tcW w:w="48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区域性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预测</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区域性预测的任务是确定井田、煤层和煤层区域的危险性，在地质勘探、新井建设和新水平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开拓时进行</w:t>
            </w:r>
          </w:p>
        </w:tc>
      </w:tr>
      <w:tr>
        <w:tblPrEx>
          <w:tblLayout w:type="fixed"/>
          <w:tblCellMar>
            <w:top w:w="0" w:type="dxa"/>
            <w:left w:w="0" w:type="dxa"/>
            <w:bottom w:w="0" w:type="dxa"/>
            <w:right w:w="0" w:type="dxa"/>
          </w:tblCellMar>
        </w:tblPrEx>
        <w:trPr>
          <w:trHeight w:val="1603" w:hRule="atLeast"/>
        </w:trPr>
        <w:tc>
          <w:tcPr>
            <w:tcW w:w="47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煤</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岩</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与瓦斯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化碳</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突出及</w:t>
            </w:r>
          </w:p>
        </w:tc>
        <w:tc>
          <w:tcPr>
            <w:tcW w:w="633" w:type="dxa"/>
            <w:gridSpan w:val="2"/>
            <w:tcBorders>
              <w:top w:val="nil"/>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与瓦斯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二氧</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化碳</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突出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预测</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48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日常</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预测</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日常预测也称工作面预测，其任务是确定工作面附近煤体的突出危险性，即该工作面继续向</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前推进时有无突出危险。</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石门揭煤突出危险性预测。石门揭煤突出危险性预测的方法主要综合指标法、钻屑指标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法、钻孔瓦斯涌出初速度结合瓦斯涌出衰减系数。</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煤巷突出危险性预测。煤巷突出危险性预测的方法主要有钻孔瓦斯涌出初速度法、钻屑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指标法</w:t>
            </w:r>
          </w:p>
        </w:tc>
      </w:tr>
      <w:tr>
        <w:tblPrEx>
          <w:tblLayout w:type="fixed"/>
          <w:tblCellMar>
            <w:top w:w="0" w:type="dxa"/>
            <w:left w:w="0" w:type="dxa"/>
            <w:bottom w:w="0" w:type="dxa"/>
            <w:right w:w="0" w:type="dxa"/>
          </w:tblCellMar>
        </w:tblPrEx>
        <w:trPr>
          <w:trHeight w:val="1267" w:hRule="atLeast"/>
        </w:trPr>
        <w:tc>
          <w:tcPr>
            <w:tcW w:w="475"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预防</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113" w:type="dxa"/>
            <w:gridSpan w:val="3"/>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防治煤</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岩</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与瓦斯</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氧化碳</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突出的措施</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防治突出的技术措施。防治突出的技术措施主要分为区域性措施和局部性措施两大类。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区域性措施主要有</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种，即预留开采保护层、大面积瓦斯预抽放、控制预裂爆破；局部措施有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很多种，如卸压排放钻孔、深孔或浅孔松动爆破、卸压槽、固化剂、水力冲孔等。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“四位一体”综合防治突出措施。</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安全防护措施</w:t>
            </w:r>
          </w:p>
        </w:tc>
      </w:tr>
      <w:tr>
        <w:tblPrEx>
          <w:tblLayout w:type="fixed"/>
          <w:tblCellMar>
            <w:top w:w="0" w:type="dxa"/>
            <w:left w:w="0" w:type="dxa"/>
            <w:bottom w:w="0" w:type="dxa"/>
            <w:right w:w="0" w:type="dxa"/>
          </w:tblCellMar>
        </w:tblPrEx>
        <w:trPr>
          <w:trHeight w:val="1276" w:hRule="atLeast"/>
        </w:trPr>
        <w:tc>
          <w:tcPr>
            <w:tcW w:w="475"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瓦斯、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煤尘事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故的救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护及</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处理</w:t>
            </w:r>
          </w:p>
        </w:tc>
        <w:tc>
          <w:tcPr>
            <w:tcW w:w="1113" w:type="dxa"/>
            <w:gridSpan w:val="3"/>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瓦斯煤尘</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爆炸事故</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发生瓦斯煤尘爆炸事故时，矿山救护队的主要任务是：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抢救遇险人员。</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对充满爆炸烟气的巷道恢复通风。</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抢救人员时清理堵塞物。</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扑灭因爆炸而产生的火灾</w:t>
            </w:r>
          </w:p>
        </w:tc>
      </w:tr>
      <w:tr>
        <w:tblPrEx>
          <w:tblLayout w:type="fixed"/>
          <w:tblCellMar>
            <w:top w:w="0" w:type="dxa"/>
            <w:left w:w="0" w:type="dxa"/>
            <w:bottom w:w="0" w:type="dxa"/>
            <w:right w:w="0" w:type="dxa"/>
          </w:tblCellMar>
        </w:tblPrEx>
        <w:trPr>
          <w:trHeight w:val="307" w:hRule="atLeast"/>
        </w:trPr>
        <w:tc>
          <w:tcPr>
            <w:tcW w:w="1588" w:type="dxa"/>
            <w:gridSpan w:val="4"/>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19" w:hRule="atLeast"/>
        </w:trPr>
        <w:tc>
          <w:tcPr>
            <w:tcW w:w="552" w:type="dxa"/>
            <w:gridSpan w:val="2"/>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瓦斯、</w:t>
            </w:r>
          </w:p>
        </w:tc>
        <w:tc>
          <w:tcPr>
            <w:tcW w:w="556" w:type="dxa"/>
            <w:tcBorders>
              <w:top w:val="single" w:color="auto" w:sz="8" w:space="0"/>
              <w:left w:val="single" w:color="auto" w:sz="8"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48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一般</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原则</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发生煤与瓦斯突出事故时，矿山救护队的主要任务是抢救人员和对充满瓦斯的巷道进行通风</w:t>
            </w:r>
          </w:p>
          <w:p>
            <w:pPr>
              <w:autoSpaceDE w:val="0"/>
              <w:autoSpaceDN w:val="0"/>
              <w:rPr>
                <w:rFonts w:hint="eastAsia" w:ascii="微软雅黑" w:hAnsi="微软雅黑" w:eastAsia="微软雅黑" w:cs="微软雅黑"/>
                <w:color w:val="000000"/>
                <w:kern w:val="0"/>
                <w:sz w:val="18"/>
                <w:szCs w:val="18"/>
              </w:rPr>
            </w:pPr>
          </w:p>
        </w:tc>
      </w:tr>
      <w:tr>
        <w:tblPrEx>
          <w:tblLayout w:type="fixed"/>
          <w:tblCellMar>
            <w:top w:w="0" w:type="dxa"/>
            <w:left w:w="0" w:type="dxa"/>
            <w:bottom w:w="0" w:type="dxa"/>
            <w:right w:w="0" w:type="dxa"/>
          </w:tblCellMar>
        </w:tblPrEx>
        <w:trPr>
          <w:trHeight w:val="1272" w:hRule="atLeast"/>
        </w:trPr>
        <w:tc>
          <w:tcPr>
            <w:tcW w:w="552" w:type="dxa"/>
            <w:gridSpan w:val="2"/>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煤尘事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故的救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护及</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处理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556" w:type="dxa"/>
            <w:tcBorders>
              <w:top w:val="nil"/>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救护及</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处理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480"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救护</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措施</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不得停风和反风，防止风流紊乱扩大灾情；根据井下实际情况加强通风，特别要加强电气设</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备处的通风，做到运行的设备不停电，停运的设备不送电，防止产生火花引起爆炸；瓦斯突出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引起火灾时，要采用综合灭火或惰气灭火；在处理突出事故时，检查矿灯，要设专人定时定点</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用</w:t>
            </w:r>
            <w:r>
              <w:rPr>
                <w:rFonts w:hint="eastAsia" w:ascii="微软雅黑" w:hAnsi="微软雅黑" w:eastAsia="微软雅黑" w:cs="微软雅黑"/>
                <w:color w:val="000000"/>
                <w:kern w:val="0"/>
                <w:sz w:val="18"/>
                <w:szCs w:val="18"/>
              </w:rPr>
              <w:t>100</w:t>
            </w:r>
            <w:r>
              <w:rPr>
                <w:rFonts w:hint="eastAsia" w:ascii="微软雅黑" w:hAnsi="微软雅黑" w:eastAsia="微软雅黑" w:cs="微软雅黑"/>
                <w:color w:val="000000"/>
                <w:kern w:val="0"/>
                <w:sz w:val="18"/>
                <w:szCs w:val="18"/>
              </w:rPr>
              <w:t>％瓦斯测定器检查瓦斯浓度，设立安全岗哨；处理岩石与二氧化碳突出事故时，除严格</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执行处理煤与瓦斯突出事故各项规定外，还必须对灾区加大风量，迅速抢救遇险人员</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考点五</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矿(地)压灾害防治技术(表7—5)</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表7—5矿(地)压灾害防治技术</w:t>
      </w:r>
    </w:p>
    <w:tbl>
      <w:tblPr>
        <w:tblStyle w:val="4"/>
        <w:tblW w:w="8448" w:type="dxa"/>
        <w:tblInd w:w="15" w:type="dxa"/>
        <w:tblLayout w:type="fixed"/>
        <w:tblCellMar>
          <w:top w:w="0" w:type="dxa"/>
          <w:left w:w="0" w:type="dxa"/>
          <w:bottom w:w="0" w:type="dxa"/>
          <w:right w:w="0" w:type="dxa"/>
        </w:tblCellMar>
      </w:tblPr>
      <w:tblGrid>
        <w:gridCol w:w="475"/>
        <w:gridCol w:w="38"/>
        <w:gridCol w:w="1066"/>
        <w:gridCol w:w="48"/>
        <w:gridCol w:w="6782"/>
        <w:gridCol w:w="39"/>
      </w:tblGrid>
      <w:tr>
        <w:tblPrEx>
          <w:tblLayout w:type="fixed"/>
          <w:tblCellMar>
            <w:top w:w="0" w:type="dxa"/>
            <w:left w:w="0" w:type="dxa"/>
            <w:bottom w:w="0" w:type="dxa"/>
            <w:right w:w="0" w:type="dxa"/>
          </w:tblCellMar>
        </w:tblPrEx>
        <w:trPr>
          <w:gridAfter w:val="1"/>
          <w:wAfter w:w="39" w:type="dxa"/>
          <w:trHeight w:val="307" w:hRule="atLeast"/>
        </w:trPr>
        <w:tc>
          <w:tcPr>
            <w:tcW w:w="1579" w:type="dxa"/>
            <w:gridSpan w:val="3"/>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0"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gridAfter w:val="1"/>
          <w:wAfter w:w="39" w:type="dxa"/>
          <w:trHeight w:val="240" w:hRule="atLeast"/>
        </w:trPr>
        <w:tc>
          <w:tcPr>
            <w:tcW w:w="47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04"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锚杆支护</w:t>
            </w:r>
          </w:p>
        </w:tc>
        <w:tc>
          <w:tcPr>
            <w:tcW w:w="683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是单独采用锚杆的支护</w:t>
            </w:r>
          </w:p>
        </w:tc>
      </w:tr>
      <w:tr>
        <w:tblPrEx>
          <w:tblLayout w:type="fixed"/>
          <w:tblCellMar>
            <w:top w:w="0" w:type="dxa"/>
            <w:left w:w="0" w:type="dxa"/>
            <w:bottom w:w="0" w:type="dxa"/>
            <w:right w:w="0" w:type="dxa"/>
          </w:tblCellMar>
        </w:tblPrEx>
        <w:trPr>
          <w:gridAfter w:val="1"/>
          <w:wAfter w:w="39" w:type="dxa"/>
          <w:trHeight w:val="240" w:hRule="atLeast"/>
        </w:trPr>
        <w:tc>
          <w:tcPr>
            <w:tcW w:w="47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井巷</w:t>
            </w:r>
          </w:p>
        </w:tc>
        <w:tc>
          <w:tcPr>
            <w:tcW w:w="1104"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锚喷支护</w:t>
            </w:r>
          </w:p>
        </w:tc>
        <w:tc>
          <w:tcPr>
            <w:tcW w:w="683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是联合使用锚杆和喷射混凝土或喷浆的支护</w:t>
            </w:r>
          </w:p>
        </w:tc>
      </w:tr>
      <w:tr>
        <w:tblPrEx>
          <w:tblLayout w:type="fixed"/>
          <w:tblCellMar>
            <w:top w:w="0" w:type="dxa"/>
            <w:left w:w="0" w:type="dxa"/>
            <w:bottom w:w="0" w:type="dxa"/>
            <w:right w:w="0" w:type="dxa"/>
          </w:tblCellMar>
        </w:tblPrEx>
        <w:trPr>
          <w:gridAfter w:val="1"/>
          <w:wAfter w:w="39" w:type="dxa"/>
          <w:trHeight w:val="796" w:hRule="atLeast"/>
        </w:trPr>
        <w:tc>
          <w:tcPr>
            <w:tcW w:w="475"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支护</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及维</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护</w:t>
            </w:r>
          </w:p>
        </w:tc>
        <w:tc>
          <w:tcPr>
            <w:tcW w:w="1104"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混凝土及钢筋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混凝土支护</w:t>
            </w:r>
          </w:p>
          <w:p>
            <w:pPr>
              <w:autoSpaceDE w:val="0"/>
              <w:autoSpaceDN w:val="0"/>
              <w:rPr>
                <w:rFonts w:hint="eastAsia" w:ascii="微软雅黑" w:hAnsi="微软雅黑" w:eastAsia="微软雅黑" w:cs="微软雅黑"/>
                <w:color w:val="000000"/>
                <w:kern w:val="0"/>
                <w:sz w:val="18"/>
                <w:szCs w:val="18"/>
              </w:rPr>
            </w:pPr>
          </w:p>
        </w:tc>
        <w:tc>
          <w:tcPr>
            <w:tcW w:w="683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混凝土支护是用预制混凝土块或浇筑混凝土砌筑的支架所进行的支护。钢筋混凝土支护是用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预制的钢筋混凝土构件或浇筑的钢筋混凝土砌筑支架所进行的支护。这两种支护是立井井筒、</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运输大巷及井底车场所采用的主要支护方式</w:t>
            </w:r>
          </w:p>
        </w:tc>
      </w:tr>
      <w:tr>
        <w:tblPrEx>
          <w:tblLayout w:type="fixed"/>
          <w:tblCellMar>
            <w:top w:w="0" w:type="dxa"/>
            <w:left w:w="0" w:type="dxa"/>
            <w:bottom w:w="0" w:type="dxa"/>
            <w:right w:w="0" w:type="dxa"/>
          </w:tblCellMar>
        </w:tblPrEx>
        <w:trPr>
          <w:gridAfter w:val="1"/>
          <w:wAfter w:w="39" w:type="dxa"/>
          <w:trHeight w:val="240" w:hRule="atLeast"/>
        </w:trPr>
        <w:tc>
          <w:tcPr>
            <w:tcW w:w="475" w:type="dxa"/>
            <w:vMerge w:val="continue"/>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04"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棚状支架支护</w:t>
            </w:r>
          </w:p>
        </w:tc>
        <w:tc>
          <w:tcPr>
            <w:tcW w:w="683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根据材质的不同，棚状支架支护可以分为木支架支护和金属支架支护</w:t>
            </w:r>
          </w:p>
        </w:tc>
      </w:tr>
      <w:tr>
        <w:tblPrEx>
          <w:tblLayout w:type="fixed"/>
          <w:tblCellMar>
            <w:top w:w="0" w:type="dxa"/>
            <w:left w:w="0" w:type="dxa"/>
            <w:bottom w:w="0" w:type="dxa"/>
            <w:right w:w="0" w:type="dxa"/>
          </w:tblCellMar>
        </w:tblPrEx>
        <w:trPr>
          <w:gridAfter w:val="1"/>
          <w:wAfter w:w="39" w:type="dxa"/>
          <w:trHeight w:val="1036" w:hRule="atLeast"/>
        </w:trPr>
        <w:tc>
          <w:tcPr>
            <w:tcW w:w="47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采场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地压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w:t>
            </w:r>
          </w:p>
        </w:tc>
        <w:tc>
          <w:tcPr>
            <w:tcW w:w="1104"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煤矿采场矿山</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压力控制方法</w:t>
            </w:r>
          </w:p>
          <w:p>
            <w:pPr>
              <w:autoSpaceDE w:val="0"/>
              <w:autoSpaceDN w:val="0"/>
              <w:rPr>
                <w:rFonts w:hint="eastAsia" w:ascii="微软雅黑" w:hAnsi="微软雅黑" w:eastAsia="微软雅黑" w:cs="微软雅黑"/>
                <w:color w:val="000000"/>
                <w:kern w:val="0"/>
                <w:sz w:val="18"/>
                <w:szCs w:val="18"/>
              </w:rPr>
            </w:pPr>
          </w:p>
        </w:tc>
        <w:tc>
          <w:tcPr>
            <w:tcW w:w="683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煤矿采场矿山压力控制主要根据直接顶稳定性和老顶来压强度来选择合理支护方式和支护强度。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直接顶是指直接位于煤层之上的易垮落岩层。煤矿直接顶稳定性分类主要以直接顶初次垮落步距为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主要指标，将直接顶分为不稳定、中等稳定、稳定和非常稳定</w:t>
            </w: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类。老顶是位于直接顶之上较硬或</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较厚的岩层。老顶压力显现分为</w:t>
            </w: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级，即老顶来压不明显、来压明显、来压强烈和来压极强烈</w:t>
            </w:r>
          </w:p>
        </w:tc>
      </w:tr>
      <w:tr>
        <w:tblPrEx>
          <w:tblLayout w:type="fixed"/>
          <w:tblCellMar>
            <w:top w:w="0" w:type="dxa"/>
            <w:left w:w="0" w:type="dxa"/>
            <w:bottom w:w="0" w:type="dxa"/>
            <w:right w:w="0" w:type="dxa"/>
          </w:tblCellMar>
        </w:tblPrEx>
        <w:trPr>
          <w:gridAfter w:val="1"/>
          <w:wAfter w:w="39" w:type="dxa"/>
          <w:trHeight w:val="724" w:hRule="atLeast"/>
        </w:trPr>
        <w:tc>
          <w:tcPr>
            <w:tcW w:w="475" w:type="dxa"/>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技术</w:t>
            </w:r>
          </w:p>
          <w:p>
            <w:pPr>
              <w:autoSpaceDE w:val="0"/>
              <w:autoSpaceDN w:val="0"/>
              <w:rPr>
                <w:rFonts w:hint="eastAsia" w:ascii="微软雅黑" w:hAnsi="微软雅黑" w:eastAsia="微软雅黑" w:cs="微软雅黑"/>
                <w:color w:val="000000"/>
                <w:kern w:val="0"/>
                <w:sz w:val="18"/>
                <w:szCs w:val="18"/>
              </w:rPr>
            </w:pPr>
          </w:p>
        </w:tc>
        <w:tc>
          <w:tcPr>
            <w:tcW w:w="1104" w:type="dxa"/>
            <w:gridSpan w:val="2"/>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金属非金属</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矿山采场地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压控制方法</w:t>
            </w:r>
          </w:p>
        </w:tc>
        <w:tc>
          <w:tcPr>
            <w:tcW w:w="6830"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包括空场采矿法地压控制、充填采矿法地压控制、崩落采矿法地压控制</w:t>
            </w:r>
          </w:p>
          <w:p>
            <w:pPr>
              <w:autoSpaceDE w:val="0"/>
              <w:autoSpaceDN w:val="0"/>
              <w:rPr>
                <w:rFonts w:hint="eastAsia" w:ascii="微软雅黑" w:hAnsi="微软雅黑" w:eastAsia="微软雅黑" w:cs="微软雅黑"/>
                <w:color w:val="000000"/>
                <w:kern w:val="0"/>
                <w:sz w:val="18"/>
                <w:szCs w:val="18"/>
              </w:rPr>
            </w:pPr>
          </w:p>
        </w:tc>
      </w:tr>
      <w:tr>
        <w:tblPrEx>
          <w:tblLayout w:type="fixed"/>
          <w:tblCellMar>
            <w:top w:w="0" w:type="dxa"/>
            <w:left w:w="0" w:type="dxa"/>
            <w:bottom w:w="0" w:type="dxa"/>
            <w:right w:w="0" w:type="dxa"/>
          </w:tblCellMar>
        </w:tblPrEx>
        <w:trPr>
          <w:trHeight w:val="292" w:hRule="atLeast"/>
        </w:trPr>
        <w:tc>
          <w:tcPr>
            <w:tcW w:w="1627" w:type="dxa"/>
            <w:gridSpan w:val="4"/>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715" w:hRule="atLeast"/>
        </w:trPr>
        <w:tc>
          <w:tcPr>
            <w:tcW w:w="1627" w:type="dxa"/>
            <w:gridSpan w:val="4"/>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搞好地质调查工作</w:t>
            </w:r>
          </w:p>
          <w:p>
            <w:pPr>
              <w:autoSpaceDE w:val="0"/>
              <w:autoSpaceDN w:val="0"/>
              <w:rPr>
                <w:rFonts w:hint="eastAsia" w:ascii="微软雅黑" w:hAnsi="微软雅黑" w:eastAsia="微软雅黑" w:cs="微软雅黑"/>
                <w:color w:val="000000"/>
                <w:kern w:val="0"/>
                <w:sz w:val="18"/>
                <w:szCs w:val="18"/>
              </w:rPr>
            </w:pP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对于采掘工作面经过区域的地质构造必须调查清楚，通过地质构造带时要采取可靠的安全技</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术措施</w:t>
            </w:r>
          </w:p>
        </w:tc>
      </w:tr>
      <w:tr>
        <w:tblPrEx>
          <w:tblLayout w:type="fixed"/>
          <w:tblCellMar>
            <w:top w:w="0" w:type="dxa"/>
            <w:left w:w="0" w:type="dxa"/>
            <w:bottom w:w="0" w:type="dxa"/>
            <w:right w:w="0" w:type="dxa"/>
          </w:tblCellMar>
        </w:tblPrEx>
        <w:trPr>
          <w:trHeight w:val="859" w:hRule="atLeast"/>
        </w:trPr>
        <w:tc>
          <w:tcPr>
            <w:tcW w:w="1627" w:type="dxa"/>
            <w:gridSpan w:val="4"/>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坚持正规循环作业，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严格顶板监测制度</w:t>
            </w:r>
          </w:p>
          <w:p>
            <w:pPr>
              <w:autoSpaceDE w:val="0"/>
              <w:autoSpaceDN w:val="0"/>
              <w:rPr>
                <w:rFonts w:hint="eastAsia" w:ascii="微软雅黑" w:hAnsi="微软雅黑" w:eastAsia="微软雅黑" w:cs="微软雅黑"/>
                <w:color w:val="000000"/>
                <w:kern w:val="0"/>
                <w:sz w:val="18"/>
                <w:szCs w:val="18"/>
              </w:rPr>
            </w:pP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顶板事故可以采用简易的方法和仪器进行检查与观测．常用的简易方法有木楔法、标记法、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听音判断法、震动法等。还可以采用顶板报警仪、机械测力计、钢弦测压仪、地音仪等观测顶</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板及地压活动</w:t>
            </w:r>
          </w:p>
        </w:tc>
      </w:tr>
      <w:tr>
        <w:tblPrEx>
          <w:tblLayout w:type="fixed"/>
          <w:tblCellMar>
            <w:top w:w="0" w:type="dxa"/>
            <w:left w:w="0" w:type="dxa"/>
            <w:bottom w:w="0" w:type="dxa"/>
            <w:right w:w="0" w:type="dxa"/>
          </w:tblCellMar>
        </w:tblPrEx>
        <w:trPr>
          <w:trHeight w:val="806" w:hRule="atLeast"/>
        </w:trPr>
        <w:tc>
          <w:tcPr>
            <w:tcW w:w="513" w:type="dxa"/>
            <w:gridSpan w:val="2"/>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冲击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地压</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岩</w:t>
            </w:r>
          </w:p>
        </w:tc>
        <w:tc>
          <w:tcPr>
            <w:tcW w:w="1114"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冲击地压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岩爆</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预测方法</w:t>
            </w: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目前，冲击地压</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岩爆</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的预测方法主要有以下几种：钻屑法、声发射和微震监测方法、综</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合指数法</w:t>
            </w:r>
          </w:p>
          <w:p>
            <w:pPr>
              <w:autoSpaceDE w:val="0"/>
              <w:autoSpaceDN w:val="0"/>
              <w:rPr>
                <w:rFonts w:hint="eastAsia" w:ascii="微软雅黑" w:hAnsi="微软雅黑" w:eastAsia="微软雅黑" w:cs="微软雅黑"/>
                <w:color w:val="000000"/>
                <w:kern w:val="0"/>
                <w:sz w:val="18"/>
                <w:szCs w:val="18"/>
              </w:rPr>
            </w:pPr>
          </w:p>
        </w:tc>
      </w:tr>
      <w:tr>
        <w:tblPrEx>
          <w:tblLayout w:type="fixed"/>
          <w:tblCellMar>
            <w:top w:w="0" w:type="dxa"/>
            <w:left w:w="0" w:type="dxa"/>
            <w:bottom w:w="0" w:type="dxa"/>
            <w:right w:w="0" w:type="dxa"/>
          </w:tblCellMar>
        </w:tblPrEx>
        <w:trPr>
          <w:trHeight w:val="792" w:hRule="atLeast"/>
        </w:trPr>
        <w:tc>
          <w:tcPr>
            <w:tcW w:w="513" w:type="dxa"/>
            <w:gridSpan w:val="2"/>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爆</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预防</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技术</w:t>
            </w:r>
          </w:p>
        </w:tc>
        <w:tc>
          <w:tcPr>
            <w:tcW w:w="1114" w:type="dxa"/>
            <w:gridSpan w:val="2"/>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冲击地压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岩爆</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防治措施</w:t>
            </w:r>
          </w:p>
        </w:tc>
        <w:tc>
          <w:tcPr>
            <w:tcW w:w="6821"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根据发生冲击地压的成冈和机理．防治措施分为两大类：一类是防范措施：另一类是解危</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措施</w:t>
            </w:r>
          </w:p>
          <w:p>
            <w:pPr>
              <w:autoSpaceDE w:val="0"/>
              <w:autoSpaceDN w:val="0"/>
              <w:rPr>
                <w:rFonts w:hint="eastAsia" w:ascii="微软雅黑" w:hAnsi="微软雅黑" w:eastAsia="微软雅黑" w:cs="微软雅黑"/>
                <w:color w:val="000000"/>
                <w:kern w:val="0"/>
                <w:sz w:val="18"/>
                <w:szCs w:val="18"/>
              </w:rPr>
            </w:pP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w:t>
      </w:r>
      <w:r>
        <w:rPr>
          <w:rFonts w:hint="eastAsia" w:ascii="微软雅黑" w:hAnsi="微软雅黑" w:eastAsia="微软雅黑" w:cs="微软雅黑"/>
          <w:color w:val="000000"/>
          <w:sz w:val="18"/>
          <w:szCs w:val="18"/>
        </w:rPr>
        <w:t>点六</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矿山火灾及防治技术(表7—6)</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表7—6矿山火灾及防治技术</w:t>
      </w:r>
    </w:p>
    <w:tbl>
      <w:tblPr>
        <w:tblStyle w:val="4"/>
        <w:tblW w:w="8409" w:type="dxa"/>
        <w:tblInd w:w="15" w:type="dxa"/>
        <w:tblLayout w:type="fixed"/>
        <w:tblCellMar>
          <w:top w:w="0" w:type="dxa"/>
          <w:left w:w="0" w:type="dxa"/>
          <w:bottom w:w="0" w:type="dxa"/>
          <w:right w:w="0" w:type="dxa"/>
        </w:tblCellMar>
      </w:tblPr>
      <w:tblGrid>
        <w:gridCol w:w="235"/>
        <w:gridCol w:w="633"/>
        <w:gridCol w:w="720"/>
        <w:gridCol w:w="6816"/>
        <w:gridCol w:w="5"/>
      </w:tblGrid>
      <w:tr>
        <w:tblPrEx>
          <w:tblLayout w:type="fixed"/>
          <w:tblCellMar>
            <w:top w:w="0" w:type="dxa"/>
            <w:left w:w="0" w:type="dxa"/>
            <w:bottom w:w="0" w:type="dxa"/>
            <w:right w:w="0" w:type="dxa"/>
          </w:tblCellMar>
        </w:tblPrEx>
        <w:trPr>
          <w:gridAfter w:val="1"/>
          <w:wAfter w:w="5" w:type="dxa"/>
          <w:trHeight w:val="302" w:hRule="atLeast"/>
        </w:trPr>
        <w:tc>
          <w:tcPr>
            <w:tcW w:w="1588" w:type="dxa"/>
            <w:gridSpan w:val="3"/>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16"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gridAfter w:val="1"/>
          <w:wAfter w:w="5" w:type="dxa"/>
          <w:trHeight w:val="1752" w:hRule="atLeast"/>
        </w:trPr>
        <w:tc>
          <w:tcPr>
            <w:tcW w:w="1588" w:type="dxa"/>
            <w:gridSpan w:val="3"/>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矿山火灾的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分类和特点</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16"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外因火灾是指由于外来热源，如明火、爆破、瓦斯煤尘爆炸、机械摩擦、电路短路等原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因造成的火灾。外因火灾的特点是突然发生，来势凶猛，如不能及时发现，往往可能酿成恶性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内因火灾是指煤</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岩</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层或含硫矿场在一定的条件和环境下自身发生物理化学变化积聚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热量导致着火而形成的火灾。内因火灾的特点是发生过程比较长，而且有预兆．易于早期发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现，但很难找到火源中心的准确位置。扑灭比较困难</w:t>
            </w:r>
          </w:p>
        </w:tc>
      </w:tr>
      <w:tr>
        <w:tblPrEx>
          <w:tblLayout w:type="fixed"/>
          <w:tblCellMar>
            <w:top w:w="0" w:type="dxa"/>
            <w:left w:w="0" w:type="dxa"/>
            <w:bottom w:w="0" w:type="dxa"/>
            <w:right w:w="0" w:type="dxa"/>
          </w:tblCellMar>
        </w:tblPrEx>
        <w:trPr>
          <w:trHeight w:val="302" w:hRule="atLeast"/>
        </w:trPr>
        <w:tc>
          <w:tcPr>
            <w:tcW w:w="1588" w:type="dxa"/>
            <w:gridSpan w:val="3"/>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21" w:hRule="atLeast"/>
        </w:trPr>
        <w:tc>
          <w:tcPr>
            <w:tcW w:w="235" w:type="dxa"/>
            <w:vMerge w:val="restart"/>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353"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煤炭自燃倾向性</w:t>
            </w: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煤的自燃倾向性分为容易自燃、自燃、不易自燃三类</w:t>
            </w:r>
          </w:p>
        </w:tc>
      </w:tr>
      <w:tr>
        <w:tblPrEx>
          <w:tblLayout w:type="fixed"/>
          <w:tblCellMar>
            <w:top w:w="0" w:type="dxa"/>
            <w:left w:w="0" w:type="dxa"/>
            <w:bottom w:w="0" w:type="dxa"/>
            <w:right w:w="0" w:type="dxa"/>
          </w:tblCellMar>
        </w:tblPrEx>
        <w:trPr>
          <w:trHeight w:val="624" w:hRule="atLeast"/>
        </w:trPr>
        <w:tc>
          <w:tcPr>
            <w:tcW w:w="235"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353"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煤炭自燃的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预测预报</w:t>
            </w: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我国的煤炭自燃的预测预报主要采用气体分析法</w:t>
            </w:r>
          </w:p>
        </w:tc>
      </w:tr>
      <w:tr>
        <w:tblPrEx>
          <w:tblLayout w:type="fixed"/>
          <w:tblCellMar>
            <w:top w:w="0" w:type="dxa"/>
            <w:left w:w="0" w:type="dxa"/>
            <w:bottom w:w="0" w:type="dxa"/>
            <w:right w:w="0" w:type="dxa"/>
          </w:tblCellMar>
        </w:tblPrEx>
        <w:trPr>
          <w:trHeight w:val="638" w:hRule="atLeast"/>
        </w:trPr>
        <w:tc>
          <w:tcPr>
            <w:tcW w:w="23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地</w:t>
            </w:r>
          </w:p>
        </w:tc>
        <w:tc>
          <w:tcPr>
            <w:tcW w:w="633" w:type="dxa"/>
            <w:tcBorders>
              <w:top w:val="single" w:color="auto" w:sz="8" w:space="0"/>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煤炭自</w:t>
            </w:r>
          </w:p>
        </w:tc>
        <w:tc>
          <w:tcPr>
            <w:tcW w:w="72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惰化技术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防灭火</w:t>
            </w: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惰化技术就是将惰性气体或其他惰性物质送入拟处理区，抑制煤炭自燃的技术。主要包括黄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泥灌浆、粉煤灰、阻化剂及阻化泥浆和惰气等</w:t>
            </w:r>
          </w:p>
        </w:tc>
      </w:tr>
      <w:tr>
        <w:tblPrEx>
          <w:tblLayout w:type="fixed"/>
          <w:tblCellMar>
            <w:top w:w="0" w:type="dxa"/>
            <w:left w:w="0" w:type="dxa"/>
            <w:bottom w:w="0" w:type="dxa"/>
            <w:right w:w="0" w:type="dxa"/>
          </w:tblCellMar>
        </w:tblPrEx>
        <w:trPr>
          <w:trHeight w:val="643" w:hRule="atLeast"/>
        </w:trPr>
        <w:tc>
          <w:tcPr>
            <w:tcW w:w="23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山</w:t>
            </w:r>
          </w:p>
        </w:tc>
        <w:tc>
          <w:tcPr>
            <w:tcW w:w="633" w:type="dxa"/>
            <w:tcBorders>
              <w:top w:val="nil"/>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燃的预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防技术</w:t>
            </w:r>
          </w:p>
          <w:p>
            <w:pPr>
              <w:autoSpaceDE w:val="0"/>
              <w:autoSpaceDN w:val="0"/>
              <w:rPr>
                <w:rFonts w:hint="eastAsia" w:ascii="微软雅黑" w:hAnsi="微软雅黑" w:eastAsia="微软雅黑" w:cs="微软雅黑"/>
                <w:color w:val="000000"/>
                <w:kern w:val="0"/>
                <w:sz w:val="18"/>
                <w:szCs w:val="18"/>
              </w:rPr>
            </w:pPr>
          </w:p>
        </w:tc>
        <w:tc>
          <w:tcPr>
            <w:tcW w:w="72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堵漏技术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防灭火</w:t>
            </w: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堵漏就是采用某些技术措施减少或杜绝向煤柱或采空区的漏风，使煤缺氧而不至于自燃</w:t>
            </w:r>
          </w:p>
        </w:tc>
      </w:tr>
      <w:tr>
        <w:tblPrEx>
          <w:tblLayout w:type="fixed"/>
          <w:tblCellMar>
            <w:top w:w="0" w:type="dxa"/>
            <w:left w:w="0" w:type="dxa"/>
            <w:bottom w:w="0" w:type="dxa"/>
            <w:right w:w="0" w:type="dxa"/>
          </w:tblCellMar>
        </w:tblPrEx>
        <w:trPr>
          <w:trHeight w:val="638" w:hRule="atLeast"/>
        </w:trPr>
        <w:tc>
          <w:tcPr>
            <w:tcW w:w="23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因</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火</w:t>
            </w:r>
          </w:p>
        </w:tc>
        <w:tc>
          <w:tcPr>
            <w:tcW w:w="633" w:type="dxa"/>
            <w:vMerge w:val="restart"/>
            <w:tcBorders>
              <w:top w:val="single" w:color="auto" w:sz="8" w:space="0"/>
              <w:left w:val="single" w:color="auto" w:sz="8"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72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火区封闭</w:t>
            </w:r>
          </w:p>
          <w:p>
            <w:pPr>
              <w:autoSpaceDE w:val="0"/>
              <w:autoSpaceDN w:val="0"/>
              <w:rPr>
                <w:rFonts w:hint="eastAsia" w:ascii="微软雅黑" w:hAnsi="微软雅黑" w:eastAsia="微软雅黑" w:cs="微软雅黑"/>
                <w:color w:val="000000"/>
                <w:kern w:val="0"/>
                <w:sz w:val="18"/>
                <w:szCs w:val="18"/>
              </w:rPr>
            </w:pP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当防治火灾的措施失败或困火势迅猛来不及采取直接灭火措施时，就需要及时封闭火区，防</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止火灾势态扩大</w:t>
            </w:r>
          </w:p>
        </w:tc>
      </w:tr>
      <w:tr>
        <w:tblPrEx>
          <w:tblLayout w:type="fixed"/>
          <w:tblCellMar>
            <w:top w:w="0" w:type="dxa"/>
            <w:left w:w="0" w:type="dxa"/>
            <w:bottom w:w="0" w:type="dxa"/>
            <w:right w:w="0" w:type="dxa"/>
          </w:tblCellMar>
        </w:tblPrEx>
        <w:trPr>
          <w:trHeight w:val="316" w:hRule="atLeast"/>
        </w:trPr>
        <w:tc>
          <w:tcPr>
            <w:tcW w:w="23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灾</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w:t>
            </w:r>
          </w:p>
        </w:tc>
        <w:tc>
          <w:tcPr>
            <w:tcW w:w="633" w:type="dxa"/>
            <w:vMerge w:val="continue"/>
            <w:tcBorders>
              <w:top w:val="nil"/>
              <w:left w:val="single" w:color="auto" w:sz="8"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72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火区管理</w:t>
            </w: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火区封闭以后．在火区没有彻底熄灭之前，应加强火区的管理</w:t>
            </w:r>
          </w:p>
        </w:tc>
      </w:tr>
      <w:tr>
        <w:tblPrEx>
          <w:tblLayout w:type="fixed"/>
          <w:tblCellMar>
            <w:top w:w="0" w:type="dxa"/>
            <w:left w:w="0" w:type="dxa"/>
            <w:bottom w:w="0" w:type="dxa"/>
            <w:right w:w="0" w:type="dxa"/>
          </w:tblCellMar>
        </w:tblPrEx>
        <w:trPr>
          <w:trHeight w:val="1915" w:hRule="atLeast"/>
        </w:trPr>
        <w:tc>
          <w:tcPr>
            <w:tcW w:w="235"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技</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术</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33" w:type="dxa"/>
            <w:tcBorders>
              <w:top w:val="nil"/>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火区封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闭、管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理和</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启封</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72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煤炭自燃</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火区启封</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只有经取样化验分析证实，同时具备下列条件时，方可认为火区已经熄灭，才准予启封：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火区内温度下降到</w:t>
            </w:r>
            <w:r>
              <w:rPr>
                <w:rFonts w:hint="eastAsia" w:ascii="微软雅黑" w:hAnsi="微软雅黑" w:eastAsia="微软雅黑" w:cs="微软雅黑"/>
                <w:color w:val="000000"/>
                <w:kern w:val="0"/>
                <w:sz w:val="18"/>
                <w:szCs w:val="18"/>
              </w:rPr>
              <w:t>30</w:t>
            </w:r>
            <w:r>
              <w:rPr>
                <w:rFonts w:hint="eastAsia" w:ascii="微软雅黑" w:hAnsi="微软雅黑" w:eastAsia="微软雅黑" w:cs="微软雅黑"/>
                <w:color w:val="000000"/>
                <w:kern w:val="0"/>
                <w:sz w:val="18"/>
                <w:szCs w:val="18"/>
              </w:rPr>
              <w:t>℃以下，或与火灾发生前该区的空气日常温度相同。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火区内的氧气浓度降到</w:t>
            </w: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％以下。</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区内空气中不含有乙烯、乙炔，一氧化碳在封闭期间内逐渐下降，并稳定在</w:t>
            </w:r>
            <w:r>
              <w:rPr>
                <w:rFonts w:hint="eastAsia" w:ascii="微软雅黑" w:hAnsi="微软雅黑" w:eastAsia="微软雅黑" w:cs="微软雅黑"/>
                <w:color w:val="000000"/>
                <w:kern w:val="0"/>
                <w:sz w:val="18"/>
                <w:szCs w:val="18"/>
              </w:rPr>
              <w:t>0.001</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以下。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在火区的出水温度低于</w:t>
            </w:r>
            <w:r>
              <w:rPr>
                <w:rFonts w:hint="eastAsia" w:ascii="微软雅黑" w:hAnsi="微软雅黑" w:eastAsia="微软雅黑" w:cs="微软雅黑"/>
                <w:color w:val="000000"/>
                <w:kern w:val="0"/>
                <w:sz w:val="18"/>
                <w:szCs w:val="18"/>
              </w:rPr>
              <w:t>25</w:t>
            </w:r>
            <w:r>
              <w:rPr>
                <w:rFonts w:hint="eastAsia" w:ascii="微软雅黑" w:hAnsi="微软雅黑" w:eastAsia="微软雅黑" w:cs="微软雅黑"/>
                <w:color w:val="000000"/>
                <w:kern w:val="0"/>
                <w:sz w:val="18"/>
                <w:szCs w:val="18"/>
              </w:rPr>
              <w:t>℃，或与火灾发生前该区的日常出水温度相同。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以上</w:t>
            </w: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项指标持续稳定的时间在</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个月以上</w:t>
            </w:r>
          </w:p>
        </w:tc>
      </w:tr>
      <w:tr>
        <w:tblPrEx>
          <w:tblLayout w:type="fixed"/>
          <w:tblCellMar>
            <w:top w:w="0" w:type="dxa"/>
            <w:left w:w="0" w:type="dxa"/>
            <w:bottom w:w="0" w:type="dxa"/>
            <w:right w:w="0" w:type="dxa"/>
          </w:tblCellMar>
        </w:tblPrEx>
        <w:trPr>
          <w:trHeight w:val="801" w:hRule="atLeast"/>
        </w:trPr>
        <w:tc>
          <w:tcPr>
            <w:tcW w:w="23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353"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地下矿山火灾</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事故救护原则</w:t>
            </w:r>
          </w:p>
          <w:p>
            <w:pPr>
              <w:autoSpaceDE w:val="0"/>
              <w:autoSpaceDN w:val="0"/>
              <w:rPr>
                <w:rFonts w:hint="eastAsia" w:ascii="微软雅黑" w:hAnsi="微软雅黑" w:eastAsia="微软雅黑" w:cs="微软雅黑"/>
                <w:color w:val="000000"/>
                <w:kern w:val="0"/>
                <w:sz w:val="18"/>
                <w:szCs w:val="18"/>
              </w:rPr>
            </w:pP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控制烟雾的蔓延，不危及井下人员的安全；防止火灾扩大；防止引起瓦斯、煤尘爆炸；防止</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火风压引起风流逆转而造成危害；保证救灾人员的安全，并有利于抢救遇险人员；创造有利的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灭火条件</w:t>
            </w:r>
          </w:p>
        </w:tc>
      </w:tr>
      <w:tr>
        <w:tblPrEx>
          <w:tblLayout w:type="fixed"/>
          <w:tblCellMar>
            <w:top w:w="0" w:type="dxa"/>
            <w:left w:w="0" w:type="dxa"/>
            <w:bottom w:w="0" w:type="dxa"/>
            <w:right w:w="0" w:type="dxa"/>
          </w:tblCellMar>
        </w:tblPrEx>
        <w:trPr>
          <w:trHeight w:val="316" w:hRule="atLeast"/>
        </w:trPr>
        <w:tc>
          <w:tcPr>
            <w:tcW w:w="23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火</w:t>
            </w:r>
          </w:p>
        </w:tc>
        <w:tc>
          <w:tcPr>
            <w:tcW w:w="1353"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风流控制技术</w:t>
            </w: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选择合理的通风系统，加强通风管理，减少漏风</w:t>
            </w:r>
          </w:p>
        </w:tc>
      </w:tr>
      <w:tr>
        <w:tblPrEx>
          <w:tblLayout w:type="fixed"/>
          <w:tblCellMar>
            <w:top w:w="0" w:type="dxa"/>
            <w:left w:w="0" w:type="dxa"/>
            <w:bottom w:w="0" w:type="dxa"/>
            <w:right w:w="0" w:type="dxa"/>
          </w:tblCellMar>
        </w:tblPrEx>
        <w:trPr>
          <w:trHeight w:val="643" w:hRule="atLeast"/>
        </w:trPr>
        <w:tc>
          <w:tcPr>
            <w:tcW w:w="23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灾</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时</w:t>
            </w:r>
          </w:p>
          <w:p>
            <w:pPr>
              <w:autoSpaceDE w:val="0"/>
              <w:autoSpaceDN w:val="0"/>
              <w:rPr>
                <w:rFonts w:hint="eastAsia" w:ascii="微软雅黑" w:hAnsi="微软雅黑" w:eastAsia="微软雅黑" w:cs="微软雅黑"/>
                <w:color w:val="000000"/>
                <w:kern w:val="0"/>
                <w:sz w:val="18"/>
                <w:szCs w:val="18"/>
              </w:rPr>
            </w:pPr>
          </w:p>
        </w:tc>
        <w:tc>
          <w:tcPr>
            <w:tcW w:w="1353"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地下矿山反风技术</w:t>
            </w:r>
          </w:p>
          <w:p>
            <w:pPr>
              <w:autoSpaceDE w:val="0"/>
              <w:autoSpaceDN w:val="0"/>
              <w:rPr>
                <w:rFonts w:hint="eastAsia" w:ascii="微软雅黑" w:hAnsi="微软雅黑" w:eastAsia="微软雅黑" w:cs="微软雅黑"/>
                <w:color w:val="000000"/>
                <w:kern w:val="0"/>
                <w:sz w:val="18"/>
                <w:szCs w:val="18"/>
              </w:rPr>
            </w:pP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根据井下火灾具体情况，在保证作业人员和重大设备设施的安全条件下，可采用局部反风或</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全矿反风方法</w:t>
            </w:r>
          </w:p>
        </w:tc>
      </w:tr>
      <w:tr>
        <w:tblPrEx>
          <w:tblLayout w:type="fixed"/>
          <w:tblCellMar>
            <w:top w:w="0" w:type="dxa"/>
            <w:left w:w="0" w:type="dxa"/>
            <w:bottom w:w="0" w:type="dxa"/>
            <w:right w:w="0" w:type="dxa"/>
          </w:tblCellMar>
        </w:tblPrEx>
        <w:trPr>
          <w:trHeight w:val="643" w:hRule="atLeast"/>
        </w:trPr>
        <w:tc>
          <w:tcPr>
            <w:tcW w:w="23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灾</w:t>
            </w:r>
          </w:p>
        </w:tc>
        <w:tc>
          <w:tcPr>
            <w:tcW w:w="633" w:type="dxa"/>
            <w:tcBorders>
              <w:top w:val="single" w:color="auto" w:sz="8" w:space="0"/>
              <w:left w:val="single" w:color="auto" w:sz="8"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72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直接灭</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火方法</w:t>
            </w: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用水、惰气、高泡、干粉、砂子</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岩粉</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等，在火源附近或离火源一定距离直接扑灭地下矿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山火灾</w:t>
            </w:r>
          </w:p>
        </w:tc>
      </w:tr>
      <w:tr>
        <w:tblPrEx>
          <w:tblLayout w:type="fixed"/>
          <w:tblCellMar>
            <w:top w:w="0" w:type="dxa"/>
            <w:left w:w="0" w:type="dxa"/>
            <w:bottom w:w="0" w:type="dxa"/>
            <w:right w:w="0" w:type="dxa"/>
          </w:tblCellMar>
        </w:tblPrEx>
        <w:trPr>
          <w:trHeight w:val="633" w:hRule="atLeast"/>
        </w:trPr>
        <w:tc>
          <w:tcPr>
            <w:tcW w:w="235"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术</w:t>
            </w:r>
          </w:p>
          <w:p>
            <w:pPr>
              <w:autoSpaceDE w:val="0"/>
              <w:autoSpaceDN w:val="0"/>
              <w:rPr>
                <w:rFonts w:hint="eastAsia" w:ascii="微软雅黑" w:hAnsi="微软雅黑" w:eastAsia="微软雅黑" w:cs="微软雅黑"/>
                <w:color w:val="000000"/>
                <w:kern w:val="0"/>
                <w:sz w:val="18"/>
                <w:szCs w:val="18"/>
              </w:rPr>
            </w:pPr>
          </w:p>
        </w:tc>
        <w:tc>
          <w:tcPr>
            <w:tcW w:w="633" w:type="dxa"/>
            <w:tcBorders>
              <w:top w:val="nil"/>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火灾的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常用扑</w:t>
            </w:r>
          </w:p>
          <w:p>
            <w:pPr>
              <w:autoSpaceDE w:val="0"/>
              <w:autoSpaceDN w:val="0"/>
              <w:rPr>
                <w:rFonts w:hint="eastAsia" w:ascii="微软雅黑" w:hAnsi="微软雅黑" w:eastAsia="微软雅黑" w:cs="微软雅黑"/>
                <w:color w:val="000000"/>
                <w:kern w:val="0"/>
                <w:sz w:val="18"/>
                <w:szCs w:val="18"/>
              </w:rPr>
            </w:pPr>
          </w:p>
        </w:tc>
        <w:tc>
          <w:tcPr>
            <w:tcW w:w="72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隔绝方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法灭火</w:t>
            </w: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隔绝灭火就是在通往火区的所有巷道内构筑防火墙，将风流全部隔断，制止空气的供给，使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地下矿山火灾逐渐自行熄灭</w:t>
            </w:r>
          </w:p>
        </w:tc>
      </w:tr>
      <w:tr>
        <w:tblPrEx>
          <w:tblLayout w:type="fixed"/>
          <w:tblCellMar>
            <w:top w:w="0" w:type="dxa"/>
            <w:left w:w="0" w:type="dxa"/>
            <w:bottom w:w="0" w:type="dxa"/>
            <w:right w:w="0" w:type="dxa"/>
          </w:tblCellMar>
        </w:tblPrEx>
        <w:trPr>
          <w:trHeight w:val="628" w:hRule="atLeast"/>
        </w:trPr>
        <w:tc>
          <w:tcPr>
            <w:tcW w:w="235" w:type="dxa"/>
            <w:vMerge w:val="continue"/>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633" w:type="dxa"/>
            <w:tcBorders>
              <w:top w:val="nil"/>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救方法</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720"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综合方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法灭火</w:t>
            </w:r>
          </w:p>
        </w:tc>
        <w:tc>
          <w:tcPr>
            <w:tcW w:w="6821"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先用密闭墙将火区大面积封闭；待火势减弱后，再锁风逐步缩小火区范围；然后打开密闭墙</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用直接灭火方法进行直接灭火</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考点七</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水害及其防治技术(表7—7)</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表7—7</w:t>
      </w:r>
      <w:r>
        <w:rPr>
          <w:rFonts w:hint="eastAsia" w:ascii="微软雅黑" w:hAnsi="微软雅黑" w:eastAsia="微软雅黑" w:cs="微软雅黑"/>
          <w:color w:val="000000"/>
          <w:sz w:val="18"/>
          <w:szCs w:val="18"/>
        </w:rPr>
        <w:t>水</w:t>
      </w:r>
      <w:r>
        <w:rPr>
          <w:rFonts w:hint="eastAsia" w:ascii="微软雅黑" w:hAnsi="微软雅黑" w:eastAsia="微软雅黑" w:cs="微软雅黑"/>
          <w:color w:val="000000"/>
          <w:sz w:val="18"/>
          <w:szCs w:val="18"/>
        </w:rPr>
        <w:t>害及其防治技术</w:t>
      </w:r>
    </w:p>
    <w:tbl>
      <w:tblPr>
        <w:tblStyle w:val="4"/>
        <w:tblW w:w="8409" w:type="dxa"/>
        <w:tblInd w:w="15" w:type="dxa"/>
        <w:tblLayout w:type="fixed"/>
        <w:tblCellMar>
          <w:top w:w="0" w:type="dxa"/>
          <w:left w:w="0" w:type="dxa"/>
          <w:bottom w:w="0" w:type="dxa"/>
          <w:right w:w="0" w:type="dxa"/>
        </w:tblCellMar>
      </w:tblPr>
      <w:tblGrid>
        <w:gridCol w:w="465"/>
        <w:gridCol w:w="403"/>
        <w:gridCol w:w="720"/>
        <w:gridCol w:w="6821"/>
      </w:tblGrid>
      <w:tr>
        <w:tblPrEx>
          <w:tblLayout w:type="fixed"/>
          <w:tblCellMar>
            <w:top w:w="0" w:type="dxa"/>
            <w:left w:w="0" w:type="dxa"/>
            <w:bottom w:w="0" w:type="dxa"/>
            <w:right w:w="0" w:type="dxa"/>
          </w:tblCellMar>
        </w:tblPrEx>
        <w:trPr>
          <w:trHeight w:val="297" w:hRule="atLeast"/>
        </w:trPr>
        <w:tc>
          <w:tcPr>
            <w:tcW w:w="1588" w:type="dxa"/>
            <w:gridSpan w:val="3"/>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915" w:hRule="atLeast"/>
        </w:trPr>
        <w:tc>
          <w:tcPr>
            <w:tcW w:w="1588" w:type="dxa"/>
            <w:gridSpan w:val="3"/>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地下矿山导水</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通道及探测技术</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导水通道的探测分析技术主要有：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用音频电穿透仪探测含水层与导水构造。</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用地震勘探仪和组合测井仪探测地质构造。</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通过地质构造检测水位。</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用同位素质谱仪对矿山地下水中环境放射性同位素</w:t>
            </w:r>
            <w:r>
              <w:rPr>
                <w:rFonts w:hint="eastAsia" w:ascii="微软雅黑" w:hAnsi="微软雅黑" w:eastAsia="微软雅黑" w:cs="微软雅黑"/>
                <w:color w:val="000000"/>
                <w:kern w:val="0"/>
                <w:sz w:val="18"/>
                <w:szCs w:val="18"/>
                <w:vertAlign w:val="superscript"/>
              </w:rPr>
              <w:t>3</w:t>
            </w:r>
            <w:r>
              <w:rPr>
                <w:rFonts w:hint="eastAsia" w:ascii="微软雅黑" w:hAnsi="微软雅黑" w:eastAsia="微软雅黑" w:cs="微软雅黑"/>
                <w:color w:val="000000"/>
                <w:kern w:val="0"/>
                <w:sz w:val="18"/>
                <w:szCs w:val="18"/>
              </w:rPr>
              <w:t>H</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vertAlign w:val="superscript"/>
              </w:rPr>
              <w:t>14</w:t>
            </w:r>
            <w:r>
              <w:rPr>
                <w:rFonts w:hint="eastAsia" w:ascii="微软雅黑" w:hAnsi="微软雅黑" w:eastAsia="微软雅黑" w:cs="微软雅黑"/>
                <w:color w:val="000000"/>
                <w:kern w:val="0"/>
                <w:sz w:val="18"/>
                <w:szCs w:val="18"/>
              </w:rPr>
              <w:t>C</w:t>
            </w:r>
            <w:r>
              <w:rPr>
                <w:rFonts w:hint="eastAsia" w:ascii="微软雅黑" w:hAnsi="微软雅黑" w:eastAsia="微软雅黑" w:cs="微软雅黑"/>
                <w:color w:val="000000"/>
                <w:kern w:val="0"/>
                <w:sz w:val="18"/>
                <w:szCs w:val="18"/>
              </w:rPr>
              <w:t>的能谱进行测定，用以判断</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地下水年龄。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用离子色谱仪、高压液相色谱仪对矿山地下水中常量、微量的离子进行分析</w:t>
            </w:r>
          </w:p>
        </w:tc>
      </w:tr>
      <w:tr>
        <w:tblPrEx>
          <w:tblLayout w:type="fixed"/>
          <w:tblCellMar>
            <w:top w:w="0" w:type="dxa"/>
            <w:left w:w="0" w:type="dxa"/>
            <w:bottom w:w="0" w:type="dxa"/>
            <w:right w:w="0" w:type="dxa"/>
          </w:tblCellMar>
        </w:tblPrEx>
        <w:trPr>
          <w:trHeight w:val="297" w:hRule="atLeast"/>
        </w:trPr>
        <w:tc>
          <w:tcPr>
            <w:tcW w:w="1588" w:type="dxa"/>
            <w:gridSpan w:val="3"/>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28" w:hRule="atLeast"/>
        </w:trPr>
        <w:tc>
          <w:tcPr>
            <w:tcW w:w="465" w:type="dxa"/>
            <w:vMerge w:val="restart"/>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23"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地表水</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治理措施</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合理确定井口位置、填堵通道、整治河流和修筑排</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截</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水沟</w:t>
            </w:r>
          </w:p>
        </w:tc>
      </w:tr>
      <w:tr>
        <w:tblPrEx>
          <w:tblLayout w:type="fixed"/>
          <w:tblCellMar>
            <w:top w:w="0" w:type="dxa"/>
            <w:left w:w="0" w:type="dxa"/>
            <w:bottom w:w="0" w:type="dxa"/>
            <w:right w:w="0" w:type="dxa"/>
          </w:tblCellMar>
        </w:tblPrEx>
        <w:trPr>
          <w:trHeight w:val="633" w:hRule="atLeast"/>
        </w:trPr>
        <w:tc>
          <w:tcPr>
            <w:tcW w:w="465"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23"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地下水的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排水疏干</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疏干方法有：地表疏干、井下疏干和井上下相结合疏干</w:t>
            </w:r>
          </w:p>
        </w:tc>
      </w:tr>
      <w:tr>
        <w:tblPrEx>
          <w:tblLayout w:type="fixed"/>
          <w:tblCellMar>
            <w:top w:w="0" w:type="dxa"/>
            <w:left w:w="0" w:type="dxa"/>
            <w:bottom w:w="0" w:type="dxa"/>
            <w:right w:w="0" w:type="dxa"/>
          </w:tblCellMar>
        </w:tblPrEx>
        <w:trPr>
          <w:trHeight w:val="638" w:hRule="atLeast"/>
        </w:trPr>
        <w:tc>
          <w:tcPr>
            <w:tcW w:w="46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地下</w:t>
            </w:r>
          </w:p>
          <w:p>
            <w:pPr>
              <w:autoSpaceDE w:val="0"/>
              <w:autoSpaceDN w:val="0"/>
              <w:rPr>
                <w:rFonts w:hint="eastAsia" w:ascii="微软雅黑" w:hAnsi="微软雅黑" w:eastAsia="微软雅黑" w:cs="微软雅黑"/>
                <w:color w:val="000000"/>
                <w:kern w:val="0"/>
                <w:sz w:val="18"/>
                <w:szCs w:val="18"/>
              </w:rPr>
            </w:pPr>
          </w:p>
        </w:tc>
        <w:tc>
          <w:tcPr>
            <w:tcW w:w="1123"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地下水探放</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地下矿山工程地质和水文地质观测工作。</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超前探放水</w:t>
            </w:r>
          </w:p>
        </w:tc>
      </w:tr>
      <w:tr>
        <w:tblPrEx>
          <w:tblLayout w:type="fixed"/>
          <w:tblCellMar>
            <w:top w:w="0" w:type="dxa"/>
            <w:left w:w="0" w:type="dxa"/>
            <w:bottom w:w="0" w:type="dxa"/>
            <w:right w:w="0" w:type="dxa"/>
          </w:tblCellMar>
        </w:tblPrEx>
        <w:trPr>
          <w:trHeight w:val="1444" w:hRule="atLeast"/>
        </w:trPr>
        <w:tc>
          <w:tcPr>
            <w:tcW w:w="465"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矿山</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水技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术</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403" w:type="dxa"/>
            <w:tcBorders>
              <w:top w:val="single" w:color="auto" w:sz="8" w:space="0"/>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矿山</w:t>
            </w:r>
          </w:p>
          <w:p>
            <w:pPr>
              <w:autoSpaceDE w:val="0"/>
              <w:autoSpaceDN w:val="0"/>
              <w:rPr>
                <w:rFonts w:hint="eastAsia" w:ascii="微软雅黑" w:hAnsi="微软雅黑" w:eastAsia="微软雅黑" w:cs="微软雅黑"/>
                <w:color w:val="000000"/>
                <w:kern w:val="0"/>
                <w:sz w:val="18"/>
                <w:szCs w:val="18"/>
              </w:rPr>
            </w:pPr>
          </w:p>
        </w:tc>
        <w:tc>
          <w:tcPr>
            <w:tcW w:w="72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金属非</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金属矿山</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井下主要排水设备，至少应由同类型的</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台泵组成。工作泵应能在</w:t>
            </w:r>
            <w:r>
              <w:rPr>
                <w:rFonts w:hint="eastAsia" w:ascii="微软雅黑" w:hAnsi="微软雅黑" w:eastAsia="微软雅黑" w:cs="微软雅黑"/>
                <w:color w:val="000000"/>
                <w:kern w:val="0"/>
                <w:sz w:val="18"/>
                <w:szCs w:val="18"/>
              </w:rPr>
              <w:t>20h</w:t>
            </w:r>
            <w:r>
              <w:rPr>
                <w:rFonts w:hint="eastAsia" w:ascii="微软雅黑" w:hAnsi="微软雅黑" w:eastAsia="微软雅黑" w:cs="微软雅黑"/>
                <w:color w:val="000000"/>
                <w:kern w:val="0"/>
                <w:sz w:val="18"/>
                <w:szCs w:val="18"/>
              </w:rPr>
              <w:t>内排出一昼夜的正常</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涌水量；除检修泵外，其他水泵在</w:t>
            </w:r>
            <w:r>
              <w:rPr>
                <w:rFonts w:hint="eastAsia" w:ascii="微软雅黑" w:hAnsi="微软雅黑" w:eastAsia="微软雅黑" w:cs="微软雅黑"/>
                <w:color w:val="000000"/>
                <w:kern w:val="0"/>
                <w:sz w:val="18"/>
                <w:szCs w:val="18"/>
              </w:rPr>
              <w:t>20h</w:t>
            </w:r>
            <w:r>
              <w:rPr>
                <w:rFonts w:hint="eastAsia" w:ascii="微软雅黑" w:hAnsi="微软雅黑" w:eastAsia="微软雅黑" w:cs="微软雅黑"/>
                <w:color w:val="000000"/>
                <w:kern w:val="0"/>
                <w:sz w:val="18"/>
                <w:szCs w:val="18"/>
              </w:rPr>
              <w:t>内排出一昼夜的最大涌水量。井筒内应装备</w:t>
            </w: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条相同的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排水管，其中</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条工作，</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条备用。水仓应由两个独立的巷道系统组成。涌水量大的地下矿山，</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每个水仓的容积，应能容纳</w:t>
            </w: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4h</w:t>
            </w:r>
            <w:r>
              <w:rPr>
                <w:rFonts w:hint="eastAsia" w:ascii="微软雅黑" w:hAnsi="微软雅黑" w:eastAsia="微软雅黑" w:cs="微软雅黑"/>
                <w:color w:val="000000"/>
                <w:kern w:val="0"/>
                <w:sz w:val="18"/>
                <w:szCs w:val="18"/>
              </w:rPr>
              <w:t>井下正常涌水量。一般地下矿山主要水仓总容积应能容纳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8h</w:t>
            </w:r>
            <w:r>
              <w:rPr>
                <w:rFonts w:hint="eastAsia" w:ascii="微软雅黑" w:hAnsi="微软雅黑" w:eastAsia="微软雅黑" w:cs="微软雅黑"/>
                <w:color w:val="000000"/>
                <w:kern w:val="0"/>
                <w:sz w:val="18"/>
                <w:szCs w:val="18"/>
              </w:rPr>
              <w:t>的正常涌水量</w:t>
            </w:r>
          </w:p>
        </w:tc>
      </w:tr>
      <w:tr>
        <w:tblPrEx>
          <w:tblLayout w:type="fixed"/>
          <w:tblCellMar>
            <w:top w:w="0" w:type="dxa"/>
            <w:left w:w="0" w:type="dxa"/>
            <w:bottom w:w="0" w:type="dxa"/>
            <w:right w:w="0" w:type="dxa"/>
          </w:tblCellMar>
        </w:tblPrEx>
        <w:trPr>
          <w:trHeight w:val="955" w:hRule="atLeast"/>
        </w:trPr>
        <w:tc>
          <w:tcPr>
            <w:tcW w:w="465" w:type="dxa"/>
            <w:vMerge w:val="continue"/>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403" w:type="dxa"/>
            <w:tcBorders>
              <w:top w:val="nil"/>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排水</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72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煤矿</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工作水泵的能力，应能在</w:t>
            </w:r>
            <w:r>
              <w:rPr>
                <w:rFonts w:hint="eastAsia" w:ascii="微软雅黑" w:hAnsi="微软雅黑" w:eastAsia="微软雅黑" w:cs="微软雅黑"/>
                <w:color w:val="000000"/>
                <w:kern w:val="0"/>
                <w:sz w:val="18"/>
                <w:szCs w:val="18"/>
              </w:rPr>
              <w:t>20h</w:t>
            </w:r>
            <w:r>
              <w:rPr>
                <w:rFonts w:hint="eastAsia" w:ascii="微软雅黑" w:hAnsi="微软雅黑" w:eastAsia="微软雅黑" w:cs="微软雅黑"/>
                <w:color w:val="000000"/>
                <w:kern w:val="0"/>
                <w:sz w:val="18"/>
                <w:szCs w:val="18"/>
              </w:rPr>
              <w:t>内排出地下矿山</w:t>
            </w:r>
            <w:r>
              <w:rPr>
                <w:rFonts w:hint="eastAsia" w:ascii="微软雅黑" w:hAnsi="微软雅黑" w:eastAsia="微软雅黑" w:cs="微软雅黑"/>
                <w:color w:val="000000"/>
                <w:kern w:val="0"/>
                <w:sz w:val="18"/>
                <w:szCs w:val="18"/>
              </w:rPr>
              <w:t>24h</w:t>
            </w:r>
            <w:r>
              <w:rPr>
                <w:rFonts w:hint="eastAsia" w:ascii="微软雅黑" w:hAnsi="微软雅黑" w:eastAsia="微软雅黑" w:cs="微软雅黑"/>
                <w:color w:val="000000"/>
                <w:kern w:val="0"/>
                <w:sz w:val="18"/>
                <w:szCs w:val="18"/>
              </w:rPr>
              <w:t>的正常涌水量</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包括充填水和其他用水</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备用水泵的能力应不小于工作水泵能力的</w:t>
            </w:r>
            <w:r>
              <w:rPr>
                <w:rFonts w:hint="eastAsia" w:ascii="微软雅黑" w:hAnsi="微软雅黑" w:eastAsia="微软雅黑" w:cs="微软雅黑"/>
                <w:color w:val="000000"/>
                <w:kern w:val="0"/>
                <w:sz w:val="18"/>
                <w:szCs w:val="18"/>
              </w:rPr>
              <w:t>70</w:t>
            </w:r>
            <w:r>
              <w:rPr>
                <w:rFonts w:hint="eastAsia" w:ascii="微软雅黑" w:hAnsi="微软雅黑" w:eastAsia="微软雅黑" w:cs="微软雅黑"/>
                <w:color w:val="000000"/>
                <w:kern w:val="0"/>
                <w:sz w:val="18"/>
                <w:szCs w:val="18"/>
              </w:rPr>
              <w:t>％。工作水泵和备用水泵的总能力，应能在</w:t>
            </w:r>
            <w:r>
              <w:rPr>
                <w:rFonts w:hint="eastAsia" w:ascii="微软雅黑" w:hAnsi="微软雅黑" w:eastAsia="微软雅黑" w:cs="微软雅黑"/>
                <w:color w:val="000000"/>
                <w:kern w:val="0"/>
                <w:sz w:val="18"/>
                <w:szCs w:val="18"/>
              </w:rPr>
              <w:t>20h</w:t>
            </w:r>
            <w:r>
              <w:rPr>
                <w:rFonts w:hint="eastAsia" w:ascii="微软雅黑" w:hAnsi="微软雅黑" w:eastAsia="微软雅黑" w:cs="微软雅黑"/>
                <w:color w:val="000000"/>
                <w:kern w:val="0"/>
                <w:sz w:val="18"/>
                <w:szCs w:val="18"/>
              </w:rPr>
              <w:t>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排出地下矿山</w:t>
            </w:r>
            <w:r>
              <w:rPr>
                <w:rFonts w:hint="eastAsia" w:ascii="微软雅黑" w:hAnsi="微软雅黑" w:eastAsia="微软雅黑" w:cs="微软雅黑"/>
                <w:color w:val="000000"/>
                <w:kern w:val="0"/>
                <w:sz w:val="18"/>
                <w:szCs w:val="18"/>
              </w:rPr>
              <w:t>24h</w:t>
            </w:r>
            <w:r>
              <w:rPr>
                <w:rFonts w:hint="eastAsia" w:ascii="微软雅黑" w:hAnsi="微软雅黑" w:eastAsia="微软雅黑" w:cs="微软雅黑"/>
                <w:color w:val="000000"/>
                <w:kern w:val="0"/>
                <w:sz w:val="18"/>
                <w:szCs w:val="18"/>
              </w:rPr>
              <w:t>的最大涌水量。检修水泵的能力应不小于工作水泵能力的</w:t>
            </w:r>
            <w:r>
              <w:rPr>
                <w:rFonts w:hint="eastAsia" w:ascii="微软雅黑" w:hAnsi="微软雅黑" w:eastAsia="微软雅黑" w:cs="微软雅黑"/>
                <w:color w:val="000000"/>
                <w:kern w:val="0"/>
                <w:sz w:val="18"/>
                <w:szCs w:val="18"/>
              </w:rPr>
              <w:t>25</w:t>
            </w:r>
            <w:r>
              <w:rPr>
                <w:rFonts w:hint="eastAsia" w:ascii="微软雅黑" w:hAnsi="微软雅黑" w:eastAsia="微软雅黑" w:cs="微软雅黑"/>
                <w:color w:val="000000"/>
                <w:kern w:val="0"/>
                <w:sz w:val="18"/>
                <w:szCs w:val="18"/>
              </w:rPr>
              <w:t>％</w:t>
            </w:r>
          </w:p>
        </w:tc>
      </w:tr>
      <w:tr>
        <w:tblPrEx>
          <w:tblLayout w:type="fixed"/>
          <w:tblCellMar>
            <w:top w:w="0" w:type="dxa"/>
            <w:left w:w="0" w:type="dxa"/>
            <w:bottom w:w="0" w:type="dxa"/>
            <w:right w:w="0" w:type="dxa"/>
          </w:tblCellMar>
        </w:tblPrEx>
        <w:trPr>
          <w:trHeight w:val="638" w:hRule="atLeast"/>
        </w:trPr>
        <w:tc>
          <w:tcPr>
            <w:tcW w:w="46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23"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预测</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是指在开采前，根据地质勘探的水文地质资料及专门进行的水害调查资料．确定地下矿山水</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灾的危险程度，并编制地下矿山水灾预测图</w:t>
            </w:r>
          </w:p>
        </w:tc>
      </w:tr>
      <w:tr>
        <w:tblPrEx>
          <w:tblLayout w:type="fixed"/>
        </w:tblPrEx>
        <w:trPr>
          <w:trHeight w:val="960" w:hRule="atLeast"/>
        </w:trPr>
        <w:tc>
          <w:tcPr>
            <w:tcW w:w="46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地下</w:t>
            </w:r>
          </w:p>
        </w:tc>
        <w:tc>
          <w:tcPr>
            <w:tcW w:w="403" w:type="dxa"/>
            <w:tcBorders>
              <w:top w:val="single" w:color="auto" w:sz="8" w:space="0"/>
              <w:left w:val="single" w:color="auto" w:sz="8"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72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一般预兆</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包括：①煤层变潮湿、松软；煤帮出现滴水、淋水现象，且淋水由小变大；有时煤帮出现铁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锈色水迹。②工作面气温降低，或出现雾气或硫化氢气味。③有时可听到水的“嘶嘶”声。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④矿压增大。发生冒顶片帮及底鼓</w:t>
            </w:r>
          </w:p>
        </w:tc>
      </w:tr>
      <w:tr>
        <w:tblPrEx>
          <w:tblLayout w:type="fixed"/>
          <w:tblCellMar>
            <w:top w:w="0" w:type="dxa"/>
            <w:left w:w="0" w:type="dxa"/>
            <w:bottom w:w="0" w:type="dxa"/>
            <w:right w:w="0" w:type="dxa"/>
          </w:tblCellMar>
        </w:tblPrEx>
        <w:trPr>
          <w:trHeight w:val="1281" w:hRule="atLeast"/>
        </w:trPr>
        <w:tc>
          <w:tcPr>
            <w:tcW w:w="46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矿山</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水灾</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测和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突水</w:t>
            </w:r>
          </w:p>
        </w:tc>
        <w:tc>
          <w:tcPr>
            <w:tcW w:w="403" w:type="dxa"/>
            <w:vMerge w:val="restart"/>
            <w:tcBorders>
              <w:top w:val="nil"/>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预兆</w:t>
            </w:r>
          </w:p>
          <w:p>
            <w:pPr>
              <w:autoSpaceDE w:val="0"/>
              <w:autoSpaceDN w:val="0"/>
              <w:rPr>
                <w:rFonts w:hint="eastAsia" w:ascii="微软雅黑" w:hAnsi="微软雅黑" w:eastAsia="微软雅黑" w:cs="微软雅黑"/>
                <w:color w:val="000000"/>
                <w:kern w:val="0"/>
                <w:sz w:val="18"/>
                <w:szCs w:val="18"/>
              </w:rPr>
            </w:pPr>
          </w:p>
        </w:tc>
        <w:tc>
          <w:tcPr>
            <w:tcW w:w="72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工作面底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板灰岩含</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水层突水</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预兆</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包括：①工作面压力增大，底板鼓起，底鼓量有时可达</w:t>
            </w:r>
            <w:r>
              <w:rPr>
                <w:rFonts w:hint="eastAsia" w:ascii="微软雅黑" w:hAnsi="微软雅黑" w:eastAsia="微软雅黑" w:cs="微软雅黑"/>
                <w:color w:val="000000"/>
                <w:kern w:val="0"/>
                <w:sz w:val="18"/>
                <w:szCs w:val="18"/>
              </w:rPr>
              <w:t>500mm</w:t>
            </w:r>
            <w:r>
              <w:rPr>
                <w:rFonts w:hint="eastAsia" w:ascii="微软雅黑" w:hAnsi="微软雅黑" w:eastAsia="微软雅黑" w:cs="微软雅黑"/>
                <w:color w:val="000000"/>
                <w:kern w:val="0"/>
                <w:sz w:val="18"/>
                <w:szCs w:val="18"/>
              </w:rPr>
              <w:t>以上。②工作面底板产生裂</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隙，并逐渐增大。③沿裂隙或煤帮向外渗水，随着裂隙的增大，水量增加。④底板破裂，沿裂</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缝有高压水喷出，并伴有“嘶嘶”声或刺耳水声。⑤底板发生“底爆”，伴有巨响，地下水大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量涌出，水色呈乳白或黄色</w:t>
            </w:r>
          </w:p>
        </w:tc>
      </w:tr>
      <w:tr>
        <w:tblPrEx>
          <w:tblLayout w:type="fixed"/>
          <w:tblCellMar>
            <w:top w:w="0" w:type="dxa"/>
            <w:left w:w="0" w:type="dxa"/>
            <w:bottom w:w="0" w:type="dxa"/>
            <w:right w:w="0" w:type="dxa"/>
          </w:tblCellMar>
        </w:tblPrEx>
        <w:trPr>
          <w:trHeight w:val="1272" w:hRule="atLeast"/>
        </w:trPr>
        <w:tc>
          <w:tcPr>
            <w:tcW w:w="465" w:type="dxa"/>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403" w:type="dxa"/>
            <w:vMerge w:val="continue"/>
            <w:tcBorders>
              <w:top w:val="nil"/>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720"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松散孔隙</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含水层突</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水预兆</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突水部位发潮、滴水且滴水现象逐渐增大，仔细观察发现水中含有少量细砂。</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发生局部冒顶，水量突增并出现流沙，流沙常呈间歇性，水色时清时混，总的趋势是水</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量、砂量增加，直至流沙大量涌出。</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顶板发生溃水、溃沙，这种现象可能影响到地表，致使地表出现塌陷坑</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考点八</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矿山粉尘及其防治技术(表7—8)</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表7—8矿山粉尘及其防治技术</w:t>
      </w:r>
    </w:p>
    <w:tbl>
      <w:tblPr>
        <w:tblStyle w:val="4"/>
        <w:tblW w:w="8409" w:type="dxa"/>
        <w:tblInd w:w="15" w:type="dxa"/>
        <w:tblLayout w:type="fixed"/>
        <w:tblCellMar>
          <w:top w:w="0" w:type="dxa"/>
          <w:left w:w="0" w:type="dxa"/>
          <w:bottom w:w="0" w:type="dxa"/>
          <w:right w:w="0" w:type="dxa"/>
        </w:tblCellMar>
      </w:tblPr>
      <w:tblGrid>
        <w:gridCol w:w="388"/>
        <w:gridCol w:w="404"/>
        <w:gridCol w:w="796"/>
        <w:gridCol w:w="6821"/>
      </w:tblGrid>
      <w:tr>
        <w:tblPrEx>
          <w:tblLayout w:type="fixed"/>
          <w:tblCellMar>
            <w:top w:w="0" w:type="dxa"/>
            <w:left w:w="0" w:type="dxa"/>
            <w:bottom w:w="0" w:type="dxa"/>
            <w:right w:w="0" w:type="dxa"/>
          </w:tblCellMar>
        </w:tblPrEx>
        <w:trPr>
          <w:trHeight w:val="297" w:hRule="atLeast"/>
        </w:trPr>
        <w:tc>
          <w:tcPr>
            <w:tcW w:w="1588" w:type="dxa"/>
            <w:gridSpan w:val="3"/>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31" w:hRule="atLeast"/>
        </w:trPr>
        <w:tc>
          <w:tcPr>
            <w:tcW w:w="388"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404" w:type="dxa"/>
            <w:vMerge w:val="restart"/>
            <w:tcBorders>
              <w:top w:val="single" w:color="auto" w:sz="8" w:space="0"/>
              <w:left w:val="single" w:color="auto" w:sz="8"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79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全尘</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是指用一般敞口采样器采集到一定时间内悬浮在空气中的全部周体微粒</w:t>
            </w:r>
          </w:p>
        </w:tc>
      </w:tr>
      <w:tr>
        <w:tblPrEx>
          <w:tblLayout w:type="fixed"/>
          <w:tblCellMar>
            <w:top w:w="0" w:type="dxa"/>
            <w:left w:w="0" w:type="dxa"/>
            <w:bottom w:w="0" w:type="dxa"/>
            <w:right w:w="0" w:type="dxa"/>
          </w:tblCellMar>
        </w:tblPrEx>
        <w:trPr>
          <w:trHeight w:val="720" w:hRule="atLeast"/>
        </w:trPr>
        <w:tc>
          <w:tcPr>
            <w:tcW w:w="388"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矿山</w:t>
            </w:r>
          </w:p>
        </w:tc>
        <w:tc>
          <w:tcPr>
            <w:tcW w:w="404" w:type="dxa"/>
            <w:vMerge w:val="continue"/>
            <w:tcBorders>
              <w:top w:val="nil"/>
              <w:left w:val="single" w:color="auto" w:sz="8"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79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呼吸性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粉尘</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是指能被吸人人体肺部并滞留于肺泡区的浮游粉尘。空气动力直径小于</w:t>
            </w:r>
            <w:r>
              <w:rPr>
                <w:rFonts w:hint="eastAsia" w:ascii="微软雅黑" w:hAnsi="微软雅黑" w:eastAsia="微软雅黑" w:cs="微软雅黑"/>
                <w:color w:val="000000"/>
                <w:kern w:val="0"/>
                <w:sz w:val="18"/>
                <w:szCs w:val="18"/>
              </w:rPr>
              <w:t>7.07</w:t>
            </w:r>
            <w:r>
              <w:rPr>
                <w:rFonts w:hint="eastAsia" w:ascii="微软雅黑" w:hAnsi="微软雅黑" w:eastAsia="微软雅黑" w:cs="微软雅黑"/>
                <w:color w:val="000000"/>
                <w:kern w:val="0"/>
                <w:sz w:val="18"/>
                <w:szCs w:val="18"/>
              </w:rPr>
              <w:t>μ</w:t>
            </w:r>
            <w:r>
              <w:rPr>
                <w:rFonts w:hint="eastAsia" w:ascii="微软雅黑" w:hAnsi="微软雅黑" w:eastAsia="微软雅黑" w:cs="微软雅黑"/>
                <w:color w:val="000000"/>
                <w:kern w:val="0"/>
                <w:sz w:val="18"/>
                <w:szCs w:val="18"/>
              </w:rPr>
              <w:t>m</w:t>
            </w:r>
            <w:r>
              <w:rPr>
                <w:rFonts w:hint="eastAsia" w:ascii="微软雅黑" w:hAnsi="微软雅黑" w:eastAsia="微软雅黑" w:cs="微软雅黑"/>
                <w:color w:val="000000"/>
                <w:kern w:val="0"/>
                <w:sz w:val="18"/>
                <w:szCs w:val="18"/>
              </w:rPr>
              <w:t>的极细微粉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尘，是引起尘肺病的主要粉尘</w:t>
            </w:r>
          </w:p>
        </w:tc>
      </w:tr>
      <w:tr>
        <w:tblPrEx>
          <w:tblLayout w:type="fixed"/>
          <w:tblCellMar>
            <w:top w:w="0" w:type="dxa"/>
            <w:left w:w="0" w:type="dxa"/>
            <w:bottom w:w="0" w:type="dxa"/>
            <w:right w:w="0" w:type="dxa"/>
          </w:tblCellMar>
        </w:tblPrEx>
        <w:trPr>
          <w:trHeight w:val="715" w:hRule="atLeast"/>
        </w:trPr>
        <w:tc>
          <w:tcPr>
            <w:tcW w:w="388"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粉尘</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质及</w:t>
            </w:r>
          </w:p>
        </w:tc>
        <w:tc>
          <w:tcPr>
            <w:tcW w:w="404" w:type="dxa"/>
            <w:tcBorders>
              <w:top w:val="nil"/>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概念</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79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浮尘和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落尘</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悬浮于空气的粉尘称浮尘；沉积在巷道顶、帮、底板和物体上粉尘称为落尘</w:t>
            </w:r>
          </w:p>
        </w:tc>
      </w:tr>
      <w:tr>
        <w:tblPrEx>
          <w:tblLayout w:type="fixed"/>
          <w:tblCellMar>
            <w:top w:w="0" w:type="dxa"/>
            <w:left w:w="0" w:type="dxa"/>
            <w:bottom w:w="0" w:type="dxa"/>
            <w:right w:w="0" w:type="dxa"/>
          </w:tblCellMar>
        </w:tblPrEx>
        <w:trPr>
          <w:trHeight w:val="633" w:hRule="atLeast"/>
        </w:trPr>
        <w:tc>
          <w:tcPr>
            <w:tcW w:w="388"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危害</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200"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粉尘性质</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粉尘中游离二氧化硅的含量越高．危害越大；粉尘的粒度；粉尘的分散度；粉尘的浓度；粉</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尘的吸附性；粉尘的荷电性；煤尘的燃烧和爆炸性</w:t>
            </w:r>
          </w:p>
        </w:tc>
      </w:tr>
      <w:tr>
        <w:tblPrEx>
          <w:tblLayout w:type="fixed"/>
          <w:tblCellMar>
            <w:top w:w="0" w:type="dxa"/>
            <w:left w:w="0" w:type="dxa"/>
            <w:bottom w:w="0" w:type="dxa"/>
            <w:right w:w="0" w:type="dxa"/>
          </w:tblCellMar>
        </w:tblPrEx>
        <w:trPr>
          <w:trHeight w:val="408" w:hRule="atLeast"/>
        </w:trPr>
        <w:tc>
          <w:tcPr>
            <w:tcW w:w="388"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200"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采煤工作面防尘</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煤层注水；合理选择采煤机截割机构；喷雾降尘；采州除尘设备</w:t>
            </w:r>
          </w:p>
        </w:tc>
      </w:tr>
      <w:tr>
        <w:tblPrEx>
          <w:tblLayout w:type="fixed"/>
          <w:tblCellMar>
            <w:top w:w="0" w:type="dxa"/>
            <w:left w:w="0" w:type="dxa"/>
            <w:bottom w:w="0" w:type="dxa"/>
            <w:right w:w="0" w:type="dxa"/>
          </w:tblCellMar>
        </w:tblPrEx>
        <w:trPr>
          <w:trHeight w:val="720" w:hRule="atLeast"/>
        </w:trPr>
        <w:tc>
          <w:tcPr>
            <w:tcW w:w="388"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矿山</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粉尘</w:t>
            </w:r>
          </w:p>
          <w:p>
            <w:pPr>
              <w:autoSpaceDE w:val="0"/>
              <w:autoSpaceDN w:val="0"/>
              <w:rPr>
                <w:rFonts w:hint="eastAsia" w:ascii="微软雅黑" w:hAnsi="微软雅黑" w:eastAsia="微软雅黑" w:cs="微软雅黑"/>
                <w:color w:val="000000"/>
                <w:kern w:val="0"/>
                <w:sz w:val="18"/>
                <w:szCs w:val="18"/>
              </w:rPr>
            </w:pPr>
          </w:p>
        </w:tc>
        <w:tc>
          <w:tcPr>
            <w:tcW w:w="1200"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掘进工作面防尘</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炮掘工作面防尘；机掘工作面通风除尘</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主要设备有湿式除尘风机、湿式除尘器、袋式除尘</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器以及配套的抽出式伸缩风简、附壁风筒等</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：锚喷支护防尘</w:t>
            </w:r>
          </w:p>
        </w:tc>
      </w:tr>
      <w:tr>
        <w:tblPrEx>
          <w:tblLayout w:type="fixed"/>
          <w:tblCellMar>
            <w:top w:w="0" w:type="dxa"/>
            <w:left w:w="0" w:type="dxa"/>
            <w:bottom w:w="0" w:type="dxa"/>
            <w:right w:w="0" w:type="dxa"/>
          </w:tblCellMar>
        </w:tblPrEx>
        <w:trPr>
          <w:trHeight w:val="403" w:hRule="atLeast"/>
        </w:trPr>
        <w:tc>
          <w:tcPr>
            <w:tcW w:w="388"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技术</w:t>
            </w:r>
          </w:p>
        </w:tc>
        <w:tc>
          <w:tcPr>
            <w:tcW w:w="1200"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运输、转载防尘</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机械控制自动喷雾降尘装置；电器控制自动喷雾降尘装置</w:t>
            </w:r>
          </w:p>
        </w:tc>
      </w:tr>
      <w:tr>
        <w:tblPrEx>
          <w:tblLayout w:type="fixed"/>
          <w:tblCellMar>
            <w:top w:w="0" w:type="dxa"/>
            <w:left w:w="0" w:type="dxa"/>
            <w:bottom w:w="0" w:type="dxa"/>
            <w:right w:w="0" w:type="dxa"/>
          </w:tblCellMar>
        </w:tblPrEx>
        <w:trPr>
          <w:trHeight w:val="388" w:hRule="atLeast"/>
        </w:trPr>
        <w:tc>
          <w:tcPr>
            <w:tcW w:w="388" w:type="dxa"/>
            <w:vMerge w:val="continue"/>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200"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综合防尘措施</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包括湿式钻眼、冲刷井壁巷帮、使用水炮泥、放炮喷雾、装岩</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煤</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洒水和净化风流等措施</w:t>
            </w:r>
          </w:p>
        </w:tc>
      </w:tr>
      <w:tr>
        <w:tblPrEx>
          <w:tblLayout w:type="fixed"/>
          <w:tblCellMar>
            <w:top w:w="0" w:type="dxa"/>
            <w:left w:w="0" w:type="dxa"/>
            <w:bottom w:w="0" w:type="dxa"/>
            <w:right w:w="0" w:type="dxa"/>
          </w:tblCellMar>
        </w:tblPrEx>
        <w:trPr>
          <w:trHeight w:val="955" w:hRule="atLeast"/>
        </w:trPr>
        <w:tc>
          <w:tcPr>
            <w:tcW w:w="1588" w:type="dxa"/>
            <w:gridSpan w:val="3"/>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煤尘爆炸和</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防、隔爆措施</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矿山粉尘</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煤矿煤尘</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爆炸必须同时具备以下</w:t>
            </w: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个条件：粉尘本身具有爆炸性；粉尘悬浮在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空气中并达到一定浓度；有足以点燃粉尘的热源；有可供爆炸的助燃剂。</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煤尘爆炸和防、隔爆措施包括防止煤尘爆炸的技术措施和防止煤尘爆炸传播技术</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考点九</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露天边坡灾害及防治技术(表7—9)</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表7-9露天边坡灾害及防治技术</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345"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64"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边坡的破坏类型</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岩质边坡的破坏方式可分为滑坡、崩塌和滑塌等几种类型</w:t>
            </w:r>
          </w:p>
        </w:tc>
      </w:tr>
      <w:tr>
        <w:tblPrEx>
          <w:tblLayout w:type="fixed"/>
          <w:tblCellMar>
            <w:top w:w="0" w:type="dxa"/>
            <w:left w:w="0" w:type="dxa"/>
            <w:bottom w:w="0" w:type="dxa"/>
            <w:right w:w="0" w:type="dxa"/>
          </w:tblCellMar>
        </w:tblPrEx>
        <w:trPr>
          <w:trHeight w:val="355"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边坡滑坡的影响因素</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自然因素、人为因素</w:t>
            </w:r>
          </w:p>
        </w:tc>
      </w:tr>
      <w:tr>
        <w:tblPrEx>
          <w:tblLayout w:type="fixed"/>
          <w:tblCellMar>
            <w:top w:w="0" w:type="dxa"/>
            <w:left w:w="0" w:type="dxa"/>
            <w:bottom w:w="0" w:type="dxa"/>
            <w:right w:w="0" w:type="dxa"/>
          </w:tblCellMar>
        </w:tblPrEx>
        <w:trPr>
          <w:trHeight w:val="364"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露天边坡事故的原因</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露天边坡角设计偏大，或台阶未按设计施</w:t>
            </w:r>
            <w:r>
              <w:rPr>
                <w:rFonts w:hint="eastAsia" w:ascii="微软雅黑" w:hAnsi="微软雅黑" w:eastAsia="微软雅黑" w:cs="微软雅黑"/>
                <w:color w:val="000000"/>
                <w:kern w:val="0"/>
                <w:sz w:val="18"/>
                <w:szCs w:val="18"/>
              </w:rPr>
              <w:t>_</w:t>
            </w:r>
            <w:r>
              <w:rPr>
                <w:rFonts w:hint="eastAsia" w:ascii="微软雅黑" w:hAnsi="微软雅黑" w:eastAsia="微软雅黑" w:cs="微软雅黑"/>
                <w:color w:val="000000"/>
                <w:kern w:val="0"/>
                <w:sz w:val="18"/>
                <w:szCs w:val="18"/>
              </w:rPr>
              <w:t>丁</w:t>
            </w:r>
            <w:r>
              <w:rPr>
                <w:rFonts w:hint="eastAsia" w:ascii="微软雅黑" w:hAnsi="微软雅黑" w:eastAsia="微软雅黑" w:cs="微软雅黑"/>
                <w:color w:val="000000"/>
                <w:kern w:val="0"/>
                <w:sz w:val="18"/>
                <w:szCs w:val="18"/>
              </w:rPr>
              <w:t>_</w:t>
            </w:r>
            <w:r>
              <w:rPr>
                <w:rFonts w:hint="eastAsia" w:ascii="微软雅黑" w:hAnsi="微软雅黑" w:eastAsia="微软雅黑" w:cs="微软雅黑"/>
                <w:color w:val="000000"/>
                <w:kern w:val="0"/>
                <w:sz w:val="18"/>
                <w:szCs w:val="18"/>
              </w:rPr>
              <w:t>；边坡有大的结构弱面；自然灾害；滥采乱挖等</w:t>
            </w:r>
          </w:p>
        </w:tc>
      </w:tr>
      <w:tr>
        <w:tblPrEx>
          <w:tblLayout w:type="fixed"/>
          <w:tblCellMar>
            <w:top w:w="0" w:type="dxa"/>
            <w:left w:w="0" w:type="dxa"/>
            <w:bottom w:w="0" w:type="dxa"/>
            <w:right w:w="0" w:type="dxa"/>
          </w:tblCellMar>
        </w:tblPrEx>
        <w:trPr>
          <w:trHeight w:val="1267"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滑坡事故防治技术</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合理确定边坡参数。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选择适当的开采技术。在生产过程中必须采用从上到下的开采顺序，应选用从上盘到下</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盘的采剥推进方向。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制定严格的边坡安全管理制度</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考点十</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排土场灾害及防治技术(表7—10)</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w:t>
      </w:r>
      <w:r>
        <w:rPr>
          <w:rFonts w:hint="eastAsia" w:ascii="微软雅黑" w:hAnsi="微软雅黑" w:eastAsia="微软雅黑" w:cs="微软雅黑"/>
          <w:color w:val="000000"/>
          <w:kern w:val="0"/>
          <w:sz w:val="18"/>
          <w:szCs w:val="18"/>
        </w:rPr>
        <w:t>7—10排土场灾害及防治技术</w:t>
      </w:r>
    </w:p>
    <w:tbl>
      <w:tblPr>
        <w:tblStyle w:val="4"/>
        <w:tblW w:w="8419" w:type="dxa"/>
        <w:tblInd w:w="15" w:type="dxa"/>
        <w:tblLayout w:type="fixed"/>
        <w:tblCellMar>
          <w:top w:w="0" w:type="dxa"/>
          <w:left w:w="0" w:type="dxa"/>
          <w:bottom w:w="0" w:type="dxa"/>
          <w:right w:w="0" w:type="dxa"/>
        </w:tblCellMar>
      </w:tblPr>
      <w:tblGrid>
        <w:gridCol w:w="312"/>
        <w:gridCol w:w="316"/>
        <w:gridCol w:w="960"/>
        <w:gridCol w:w="6831"/>
      </w:tblGrid>
      <w:tr>
        <w:tblPrEx>
          <w:tblLayout w:type="fixed"/>
        </w:tblPrEx>
        <w:trPr>
          <w:trHeight w:val="292" w:hRule="atLeast"/>
        </w:trPr>
        <w:tc>
          <w:tcPr>
            <w:tcW w:w="1588" w:type="dxa"/>
            <w:gridSpan w:val="3"/>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720" w:hRule="atLeast"/>
        </w:trPr>
        <w:tc>
          <w:tcPr>
            <w:tcW w:w="312"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316" w:type="dxa"/>
            <w:tcBorders>
              <w:top w:val="single" w:color="auto" w:sz="8" w:space="0"/>
              <w:left w:val="single" w:color="auto" w:sz="8"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96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排土场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内部滑坡</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基底岩层稳固，由于岩土物料的性质、排土工艺及其他外界条件所导致的排土场滑坡，其滑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动面露出堆积体</w:t>
            </w:r>
          </w:p>
        </w:tc>
      </w:tr>
      <w:tr>
        <w:tblPrEx>
          <w:tblLayout w:type="fixed"/>
          <w:tblCellMar>
            <w:top w:w="0" w:type="dxa"/>
            <w:left w:w="0" w:type="dxa"/>
            <w:bottom w:w="0" w:type="dxa"/>
            <w:right w:w="0" w:type="dxa"/>
          </w:tblCellMar>
        </w:tblPrEx>
        <w:trPr>
          <w:trHeight w:val="787" w:hRule="atLeast"/>
        </w:trPr>
        <w:tc>
          <w:tcPr>
            <w:tcW w:w="312"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排</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w:t>
            </w:r>
          </w:p>
        </w:tc>
        <w:tc>
          <w:tcPr>
            <w:tcW w:w="316" w:type="dxa"/>
            <w:tcBorders>
              <w:top w:val="nil"/>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排</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滑</w:t>
            </w:r>
          </w:p>
        </w:tc>
        <w:tc>
          <w:tcPr>
            <w:tcW w:w="96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沿排土场与</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基底接触面</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的滑坡</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当山坡形排土场的基底倾角较陡，排土场与基底接触面之间的抗剪强度小于排土场的物料本</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身的抗剪强度时，易产生沿基底接触面的滑坡</w:t>
            </w:r>
          </w:p>
        </w:tc>
      </w:tr>
      <w:tr>
        <w:tblPrEx>
          <w:tblLayout w:type="fixed"/>
          <w:tblCellMar>
            <w:top w:w="0" w:type="dxa"/>
            <w:left w:w="0" w:type="dxa"/>
            <w:bottom w:w="0" w:type="dxa"/>
            <w:right w:w="0" w:type="dxa"/>
          </w:tblCellMar>
        </w:tblPrEx>
        <w:trPr>
          <w:trHeight w:val="715" w:hRule="atLeast"/>
        </w:trPr>
        <w:tc>
          <w:tcPr>
            <w:tcW w:w="312"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及</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原</w:t>
            </w:r>
          </w:p>
        </w:tc>
        <w:tc>
          <w:tcPr>
            <w:tcW w:w="316" w:type="dxa"/>
            <w:tcBorders>
              <w:top w:val="nil"/>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坡</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96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沿基底软弱</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面的滑坡</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当排土场坐落在软弱基底上时，由于基底承载能力低而产生滑移，并牵动排土场的滑坡</w:t>
            </w:r>
          </w:p>
        </w:tc>
      </w:tr>
      <w:tr>
        <w:tblPrEx>
          <w:tblLayout w:type="fixed"/>
          <w:tblCellMar>
            <w:top w:w="0" w:type="dxa"/>
            <w:left w:w="0" w:type="dxa"/>
            <w:bottom w:w="0" w:type="dxa"/>
            <w:right w:w="0" w:type="dxa"/>
          </w:tblCellMar>
        </w:tblPrEx>
        <w:trPr>
          <w:trHeight w:val="710" w:hRule="atLeast"/>
        </w:trPr>
        <w:tc>
          <w:tcPr>
            <w:tcW w:w="312"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因</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276"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排土场泥石流</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是指排土场大量松散岩土物料充水饱和后，在重力作用下沿陡坡和沟谷快速流动，形成一股</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能量巨大的特殊洪流</w:t>
            </w:r>
          </w:p>
        </w:tc>
      </w:tr>
      <w:tr>
        <w:tblPrEx>
          <w:tblLayout w:type="fixed"/>
          <w:tblCellMar>
            <w:top w:w="0" w:type="dxa"/>
            <w:left w:w="0" w:type="dxa"/>
            <w:bottom w:w="0" w:type="dxa"/>
            <w:right w:w="0" w:type="dxa"/>
          </w:tblCellMar>
        </w:tblPrEx>
        <w:trPr>
          <w:trHeight w:val="796" w:hRule="atLeast"/>
        </w:trPr>
        <w:tc>
          <w:tcPr>
            <w:tcW w:w="1588" w:type="dxa"/>
            <w:gridSpan w:val="3"/>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排土场灾害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的影响因素</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基底承载能力、排土工艺、岩土力学性质、地下水与地表水</w:t>
            </w:r>
          </w:p>
        </w:tc>
      </w:tr>
      <w:tr>
        <w:tblPrEx>
          <w:tblLayout w:type="fixed"/>
          <w:tblCellMar>
            <w:top w:w="0" w:type="dxa"/>
            <w:left w:w="0" w:type="dxa"/>
            <w:bottom w:w="0" w:type="dxa"/>
            <w:right w:w="0" w:type="dxa"/>
          </w:tblCellMar>
        </w:tblPrEx>
        <w:trPr>
          <w:trHeight w:val="796" w:hRule="atLeast"/>
        </w:trPr>
        <w:tc>
          <w:tcPr>
            <w:tcW w:w="1588" w:type="dxa"/>
            <w:gridSpan w:val="3"/>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排土场事故防治技术</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选择最合适的场址建设排土场；改进排土工艺；处理软弱基底；疏干排水；修筑护坡挡墙和</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泥石流消能设施</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考点十一</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尾矿库的等别和安全度(表7—11)</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w:t>
      </w:r>
      <w:r>
        <w:rPr>
          <w:rFonts w:hint="eastAsia" w:ascii="微软雅黑" w:hAnsi="微软雅黑" w:eastAsia="微软雅黑" w:cs="微软雅黑"/>
          <w:color w:val="000000"/>
          <w:kern w:val="0"/>
          <w:sz w:val="18"/>
          <w:szCs w:val="18"/>
        </w:rPr>
        <w:t>7一11尾矿库的等别和安全度</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29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12"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等别</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根据该期的全库容和坝高分别确定</w:t>
            </w:r>
          </w:p>
        </w:tc>
      </w:tr>
      <w:tr>
        <w:tblPrEx>
          <w:tblLayout w:type="fixed"/>
          <w:tblCellMar>
            <w:top w:w="0" w:type="dxa"/>
            <w:left w:w="0" w:type="dxa"/>
            <w:bottom w:w="0" w:type="dxa"/>
            <w:right w:w="0" w:type="dxa"/>
          </w:tblCellMar>
        </w:tblPrEx>
        <w:trPr>
          <w:trHeight w:val="4785"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安全度</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尾矿库安全度主要根据尾矿库防洪能力和尾矿坝坝体稳定性确定，分为危库、险库、病库和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正常库四级。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尾矿库有下列工况之一的为危库：尾矿库调洪库容严重不足，在设计洪水位时，安全超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高和最小于滩长度都不满足设计要求，将可能出现洪水漫顶；排洪系统严重堵塞或坍塌，不能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排水或排水能力急剧降低；排水井显著倾斜，有倒塌的迹象；坝体出现贯穿性横向裂缝，且出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现较大范围管涌、流土变形，坝体出现深层滑动迹象；经验算，坝体抗滑稳定最小安全系数小</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于规定值的</w:t>
            </w:r>
            <w:r>
              <w:rPr>
                <w:rFonts w:hint="eastAsia" w:ascii="微软雅黑" w:hAnsi="微软雅黑" w:eastAsia="微软雅黑" w:cs="微软雅黑"/>
                <w:color w:val="000000"/>
                <w:kern w:val="0"/>
                <w:sz w:val="18"/>
                <w:szCs w:val="18"/>
              </w:rPr>
              <w:t>0.95</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尾矿库有下列工况之一的为险库：尾矿库调洪库容不足，在设计洪水位时安全超高和最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小干滩长度均不能满足设计要求；排洪系统部分堵塞或坍塌，排水能力有所降低，达不到设计</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要求；排水井有所倾斜；坝体出现浅层滑动迹象；经验算，坝体抗滑稳定最小安全系数小于规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定值的</w:t>
            </w:r>
            <w:r>
              <w:rPr>
                <w:rFonts w:hint="eastAsia" w:ascii="微软雅黑" w:hAnsi="微软雅黑" w:eastAsia="微软雅黑" w:cs="微软雅黑"/>
                <w:color w:val="000000"/>
                <w:kern w:val="0"/>
                <w:sz w:val="18"/>
                <w:szCs w:val="18"/>
              </w:rPr>
              <w:t>0.98</w:t>
            </w:r>
            <w:r>
              <w:rPr>
                <w:rFonts w:hint="eastAsia" w:ascii="微软雅黑" w:hAnsi="微软雅黑" w:eastAsia="微软雅黑" w:cs="微软雅黑"/>
                <w:color w:val="000000"/>
                <w:kern w:val="0"/>
                <w:sz w:val="18"/>
                <w:szCs w:val="18"/>
              </w:rPr>
              <w:t>；坝体出现大面积纵向裂缝，且出现较大范围渗透水高位出逸，出现大面积沼</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泽化。</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尾矿库有下列工况之一的为病库：危库库调洪库容不足，在设计洪水位时不能同时满足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设计规定的安全超高和最小干滩长度的要求；排洪设施出现不影响安全使用的裂缝、腐蚀或磨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损；经验算，坝体抗滑稳定最小安全系数满足规定值，但部分高程上堆积边坡过陡，可能出现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局部失稳：浸润线位置局部较高，有渗透水出逸。坝面局部出现沼泽化；坝面局部出现纵向或</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横向裂缝；坝面未按设计设置排水沟，冲蚀严重，形成较多或较大的冲沟；坝端无截水沟，山</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坡雨水冲刷坝肩；堆积坝外坡未按设计覆土、植被</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考点十二</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尾矿库安全检查和监测技术(表7—12)</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w:t>
      </w:r>
      <w:r>
        <w:rPr>
          <w:rFonts w:hint="eastAsia" w:ascii="微软雅黑" w:hAnsi="微软雅黑" w:eastAsia="微软雅黑" w:cs="微软雅黑"/>
          <w:color w:val="000000"/>
          <w:kern w:val="0"/>
          <w:sz w:val="18"/>
          <w:szCs w:val="18"/>
        </w:rPr>
        <w:t>7—12尾矿库安全检查和监测技术</w:t>
      </w:r>
    </w:p>
    <w:tbl>
      <w:tblPr>
        <w:tblStyle w:val="4"/>
        <w:tblW w:w="8409" w:type="dxa"/>
        <w:tblInd w:w="15" w:type="dxa"/>
        <w:tblLayout w:type="fixed"/>
        <w:tblCellMar>
          <w:top w:w="0" w:type="dxa"/>
          <w:left w:w="0" w:type="dxa"/>
          <w:bottom w:w="0" w:type="dxa"/>
          <w:right w:w="0" w:type="dxa"/>
        </w:tblCellMar>
      </w:tblPr>
      <w:tblGrid>
        <w:gridCol w:w="1579"/>
        <w:gridCol w:w="6830"/>
      </w:tblGrid>
      <w:tr>
        <w:tblPrEx>
          <w:tblLayout w:type="fixed"/>
          <w:tblCellMar>
            <w:top w:w="0" w:type="dxa"/>
            <w:left w:w="0" w:type="dxa"/>
            <w:bottom w:w="0" w:type="dxa"/>
            <w:right w:w="0" w:type="dxa"/>
          </w:tblCellMar>
        </w:tblPrEx>
        <w:trPr>
          <w:trHeight w:val="297" w:hRule="atLeast"/>
        </w:trPr>
        <w:tc>
          <w:tcPr>
            <w:tcW w:w="1579"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33" w:hRule="atLeast"/>
        </w:trPr>
        <w:tc>
          <w:tcPr>
            <w:tcW w:w="1579"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防洪安全检查和监测</w:t>
            </w: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防洪安全检查的主要内容包括：防洪标准检查、库水位监测、滩顶高程的测定、干滩长度及</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坡度测定、防洪能力复核和排洪设施安全检查等</w:t>
            </w:r>
          </w:p>
        </w:tc>
      </w:tr>
      <w:tr>
        <w:tblPrEx>
          <w:tblLayout w:type="fixed"/>
          <w:tblCellMar>
            <w:top w:w="0" w:type="dxa"/>
            <w:left w:w="0" w:type="dxa"/>
            <w:bottom w:w="0" w:type="dxa"/>
            <w:right w:w="0" w:type="dxa"/>
          </w:tblCellMar>
        </w:tblPrEx>
        <w:trPr>
          <w:trHeight w:val="312" w:hRule="atLeast"/>
        </w:trPr>
        <w:tc>
          <w:tcPr>
            <w:tcW w:w="1579"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尾矿坝安全检查和监测</w:t>
            </w: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尾矿坝安全检查内容：坝的轮廓尺寸，变形、裂缝、滑坡和渗漏，坝面保护等</w:t>
            </w:r>
          </w:p>
        </w:tc>
      </w:tr>
      <w:tr>
        <w:tblPrEx>
          <w:tblLayout w:type="fixed"/>
          <w:tblCellMar>
            <w:top w:w="0" w:type="dxa"/>
            <w:left w:w="0" w:type="dxa"/>
            <w:bottom w:w="0" w:type="dxa"/>
            <w:right w:w="0" w:type="dxa"/>
          </w:tblCellMar>
        </w:tblPrEx>
        <w:trPr>
          <w:trHeight w:val="628" w:hRule="atLeast"/>
        </w:trPr>
        <w:tc>
          <w:tcPr>
            <w:tcW w:w="1579"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尾矿库库区安全检查</w:t>
            </w: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尾矿库库区安全检查的主要内容包括周边山体稳定性．违章建筑、违章施丁：和违章采选作业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等情况</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考点十三</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油气田事故的主要类型(表7—13)</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表7—13油气田事故的主要类型</w:t>
      </w:r>
    </w:p>
    <w:tbl>
      <w:tblPr>
        <w:tblStyle w:val="4"/>
        <w:tblW w:w="8419" w:type="dxa"/>
        <w:tblInd w:w="15" w:type="dxa"/>
        <w:tblLayout w:type="fixed"/>
        <w:tblCellMar>
          <w:top w:w="0" w:type="dxa"/>
          <w:left w:w="0" w:type="dxa"/>
          <w:bottom w:w="0" w:type="dxa"/>
          <w:right w:w="0" w:type="dxa"/>
        </w:tblCellMar>
      </w:tblPr>
      <w:tblGrid>
        <w:gridCol w:w="628"/>
        <w:gridCol w:w="960"/>
        <w:gridCol w:w="6831"/>
      </w:tblGrid>
      <w:tr>
        <w:tblPrEx>
          <w:tblLayout w:type="fixed"/>
          <w:tblCellMar>
            <w:top w:w="0" w:type="dxa"/>
            <w:left w:w="0" w:type="dxa"/>
            <w:bottom w:w="0" w:type="dxa"/>
            <w:right w:w="0" w:type="dxa"/>
          </w:tblCellMar>
        </w:tblPrEx>
        <w:trPr>
          <w:trHeight w:val="297"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43" w:hRule="atLeast"/>
        </w:trPr>
        <w:tc>
          <w:tcPr>
            <w:tcW w:w="628"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石油天</w:t>
            </w:r>
          </w:p>
          <w:p>
            <w:pPr>
              <w:autoSpaceDE w:val="0"/>
              <w:autoSpaceDN w:val="0"/>
              <w:rPr>
                <w:rFonts w:hint="eastAsia" w:ascii="微软雅黑" w:hAnsi="微软雅黑" w:eastAsia="微软雅黑" w:cs="微软雅黑"/>
                <w:color w:val="000000"/>
                <w:kern w:val="0"/>
                <w:sz w:val="18"/>
                <w:szCs w:val="18"/>
              </w:rPr>
            </w:pPr>
          </w:p>
        </w:tc>
        <w:tc>
          <w:tcPr>
            <w:tcW w:w="96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石油</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石油的危险性主要表现在：易燃性；易爆性；易蒸发性；静电荷积聚性；扩散、流淌性；热</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膨胀性；易沸溢性</w:t>
            </w:r>
          </w:p>
        </w:tc>
      </w:tr>
      <w:tr>
        <w:tblPrEx>
          <w:tblLayout w:type="fixed"/>
          <w:tblCellMar>
            <w:top w:w="0" w:type="dxa"/>
            <w:left w:w="0" w:type="dxa"/>
            <w:bottom w:w="0" w:type="dxa"/>
            <w:right w:w="0" w:type="dxa"/>
          </w:tblCellMar>
        </w:tblPrEx>
        <w:trPr>
          <w:trHeight w:val="633" w:hRule="atLeast"/>
        </w:trPr>
        <w:tc>
          <w:tcPr>
            <w:tcW w:w="628"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然气的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危险性</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96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天然气</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天然气的危险性主要表现在：易燃性；易爆性</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天然气的爆炸极限较宽，爆炸下限较低</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易扩散性；焦耳一汤姆逊效应；水合物；高压缩性</w:t>
            </w:r>
          </w:p>
        </w:tc>
      </w:tr>
      <w:tr>
        <w:tblPrEx>
          <w:tblLayout w:type="fixed"/>
          <w:tblCellMar>
            <w:top w:w="0" w:type="dxa"/>
            <w:left w:w="0" w:type="dxa"/>
            <w:bottom w:w="0" w:type="dxa"/>
            <w:right w:w="0" w:type="dxa"/>
          </w:tblCellMar>
        </w:tblPrEx>
        <w:trPr>
          <w:trHeight w:val="1123"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火灾</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对石油产品来讲，密度越大，闪点越高，而引燃温度却越低。因此，从引燃温度来说，重质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油料比轻质油料的火灾危险性大。</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对天然气来讲无闪点数据，但是天然气中气态烃的引燃温度则具有随分子量增加而降低的规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律，例如甲烷的引燃温度高于乙烷、丙烷的引燃温度</w:t>
            </w:r>
          </w:p>
        </w:tc>
      </w:tr>
      <w:tr>
        <w:tblPrEx>
          <w:tblLayout w:type="fixed"/>
          <w:tblCellMar>
            <w:top w:w="0" w:type="dxa"/>
            <w:left w:w="0" w:type="dxa"/>
            <w:bottom w:w="0" w:type="dxa"/>
            <w:right w:w="0" w:type="dxa"/>
          </w:tblCellMar>
        </w:tblPrEx>
        <w:trPr>
          <w:trHeight w:val="316"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爆炸</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石油天然气爆炸可分为物理性爆炸和化学性爆炸</w:t>
            </w:r>
          </w:p>
        </w:tc>
      </w:tr>
      <w:tr>
        <w:tblPrEx>
          <w:tblLayout w:type="fixed"/>
          <w:tblCellMar>
            <w:top w:w="0" w:type="dxa"/>
            <w:left w:w="0" w:type="dxa"/>
            <w:bottom w:w="0" w:type="dxa"/>
            <w:right w:w="0" w:type="dxa"/>
          </w:tblCellMar>
        </w:tblPrEx>
        <w:trPr>
          <w:trHeight w:val="796" w:hRule="atLeast"/>
        </w:trPr>
        <w:tc>
          <w:tcPr>
            <w:tcW w:w="1588"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井喷</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在我国石油行业中，井喷定义为：地层流体</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油、气或水</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流入井内并引起井内流体喷出钻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台面的现象。井喷不会突然发生，在其最终发生之前往往伴随井喷序列事件发生，通常要经历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下面几个阶段：溢流阶段；井涌阶段；井喷阶段</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考点十四</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钻井安全技术(表7一14)</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w:t>
      </w:r>
      <w:r>
        <w:rPr>
          <w:rFonts w:hint="eastAsia" w:ascii="微软雅黑" w:hAnsi="微软雅黑" w:eastAsia="微软雅黑" w:cs="微软雅黑"/>
          <w:color w:val="000000"/>
          <w:kern w:val="0"/>
          <w:sz w:val="18"/>
          <w:szCs w:val="18"/>
        </w:rPr>
        <w:t>7—14钻井安全技术</w:t>
      </w:r>
    </w:p>
    <w:tbl>
      <w:tblPr>
        <w:tblStyle w:val="4"/>
        <w:tblW w:w="8409" w:type="dxa"/>
        <w:tblInd w:w="15" w:type="dxa"/>
        <w:tblLayout w:type="fixed"/>
        <w:tblCellMar>
          <w:top w:w="0" w:type="dxa"/>
          <w:left w:w="0" w:type="dxa"/>
          <w:bottom w:w="0" w:type="dxa"/>
          <w:right w:w="0" w:type="dxa"/>
        </w:tblCellMar>
      </w:tblPr>
      <w:tblGrid>
        <w:gridCol w:w="628"/>
        <w:gridCol w:w="480"/>
        <w:gridCol w:w="480"/>
        <w:gridCol w:w="6821"/>
      </w:tblGrid>
      <w:tr>
        <w:tblPrEx>
          <w:tblLayout w:type="fixed"/>
          <w:tblCellMar>
            <w:top w:w="0" w:type="dxa"/>
            <w:left w:w="0" w:type="dxa"/>
            <w:bottom w:w="0" w:type="dxa"/>
            <w:right w:w="0" w:type="dxa"/>
          </w:tblCellMar>
        </w:tblPrEx>
        <w:trPr>
          <w:trHeight w:val="292" w:hRule="atLeast"/>
        </w:trPr>
        <w:tc>
          <w:tcPr>
            <w:tcW w:w="1588" w:type="dxa"/>
            <w:gridSpan w:val="3"/>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28" w:hRule="atLeast"/>
        </w:trPr>
        <w:tc>
          <w:tcPr>
            <w:tcW w:w="1588" w:type="dxa"/>
            <w:gridSpan w:val="3"/>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井控装置</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井控装置是为了实施平衡钻井工艺而装设的。井控装置系指实施油气井压力控制技术的所有</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设备、专用工具和管汇</w:t>
            </w:r>
          </w:p>
        </w:tc>
      </w:tr>
      <w:tr>
        <w:tblPrEx>
          <w:tblLayout w:type="fixed"/>
          <w:tblCellMar>
            <w:top w:w="0" w:type="dxa"/>
            <w:left w:w="0" w:type="dxa"/>
            <w:bottom w:w="0" w:type="dxa"/>
            <w:right w:w="0" w:type="dxa"/>
          </w:tblCellMar>
        </w:tblPrEx>
        <w:trPr>
          <w:trHeight w:val="3360" w:hRule="atLeast"/>
        </w:trPr>
        <w:tc>
          <w:tcPr>
            <w:tcW w:w="628"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480" w:type="dxa"/>
            <w:vMerge w:val="restart"/>
            <w:tcBorders>
              <w:top w:val="single" w:color="auto" w:sz="8" w:space="0"/>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喷</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器</w:t>
            </w:r>
          </w:p>
        </w:tc>
        <w:tc>
          <w:tcPr>
            <w:tcW w:w="48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闸</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喷</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必须装齐闸板手动操纵杆．靠手轮端应支撑牢固，操作杆与锁紧轴中心线的偏斜小大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于</w:t>
            </w:r>
            <w:r>
              <w:rPr>
                <w:rFonts w:hint="eastAsia" w:ascii="微软雅黑" w:hAnsi="微软雅黑" w:eastAsia="微软雅黑" w:cs="微软雅黑"/>
                <w:color w:val="000000"/>
                <w:kern w:val="0"/>
                <w:sz w:val="18"/>
                <w:szCs w:val="18"/>
              </w:rPr>
              <w:t>30</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井喷时可用闸板防喷器封闭空井或与闸板尺寸相同的钻具，需长时间关闭时，应手动锁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紧闸板。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现场应配备备用闸板，一旦闸板损坏，能及时更换。</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严禁用打开闸板来泄掉井内压力。</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打开和关闭侧门时应先泄掉控制管汇压力，以防损坏铰链的“</w:t>
            </w:r>
            <w:r>
              <w:rPr>
                <w:rFonts w:hint="eastAsia" w:ascii="微软雅黑" w:hAnsi="微软雅黑" w:eastAsia="微软雅黑" w:cs="微软雅黑"/>
                <w:color w:val="000000"/>
                <w:kern w:val="0"/>
                <w:sz w:val="18"/>
                <w:szCs w:val="18"/>
              </w:rPr>
              <w:t>O</w:t>
            </w:r>
            <w:r>
              <w:rPr>
                <w:rFonts w:hint="eastAsia" w:ascii="微软雅黑" w:hAnsi="微软雅黑" w:eastAsia="微软雅黑" w:cs="微软雅黑"/>
                <w:color w:val="000000"/>
                <w:kern w:val="0"/>
                <w:sz w:val="18"/>
                <w:szCs w:val="18"/>
              </w:rPr>
              <w:t>”形圈。</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装有二次密封装置的闸板防喷器，只有在活塞杆密封处严重漏失时，才能注入三次密封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膏</w:t>
            </w:r>
            <w:r>
              <w:rPr>
                <w:rFonts w:hint="eastAsia" w:ascii="微软雅黑" w:hAnsi="微软雅黑" w:eastAsia="微软雅黑" w:cs="微软雅黑"/>
                <w:color w:val="000000"/>
                <w:kern w:val="0"/>
                <w:sz w:val="18"/>
                <w:szCs w:val="18"/>
              </w:rPr>
              <w:t>(EM（　　）S)</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当井内有钻具时，严禁关闭全封闭闸板。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(8)</w:t>
            </w:r>
            <w:r>
              <w:rPr>
                <w:rFonts w:hint="eastAsia" w:ascii="微软雅黑" w:hAnsi="微软雅黑" w:eastAsia="微软雅黑" w:cs="微软雅黑"/>
                <w:color w:val="000000"/>
                <w:kern w:val="0"/>
                <w:sz w:val="18"/>
                <w:szCs w:val="18"/>
              </w:rPr>
              <w:t>进入油气层后，每天应开启闸板</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次，检查开关是否灵活。并检查手动锁紧装置是否开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关灵活。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(9)</w:t>
            </w:r>
            <w:r>
              <w:rPr>
                <w:rFonts w:hint="eastAsia" w:ascii="微软雅黑" w:hAnsi="微软雅黑" w:eastAsia="微软雅黑" w:cs="微软雅黑"/>
                <w:color w:val="000000"/>
                <w:kern w:val="0"/>
                <w:sz w:val="18"/>
                <w:szCs w:val="18"/>
              </w:rPr>
              <w:t>用完后，闸板应处于打开位置。</w:t>
            </w:r>
          </w:p>
        </w:tc>
      </w:tr>
      <w:tr>
        <w:tblPrEx>
          <w:tblLayout w:type="fixed"/>
          <w:tblCellMar>
            <w:top w:w="0" w:type="dxa"/>
            <w:left w:w="0" w:type="dxa"/>
            <w:bottom w:w="0" w:type="dxa"/>
            <w:right w:w="0" w:type="dxa"/>
          </w:tblCellMar>
        </w:tblPrEx>
        <w:trPr>
          <w:trHeight w:val="2395" w:hRule="atLeast"/>
        </w:trPr>
        <w:tc>
          <w:tcPr>
            <w:tcW w:w="628"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井控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装置</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全要求</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480" w:type="dxa"/>
            <w:vMerge w:val="continue"/>
            <w:tcBorders>
              <w:top w:val="nil"/>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48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形</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喷</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如井内有钻具发生井喷时，可先用环形防喷器控制井口。</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用环形防喷器进行井下作业，必须使用带</w:t>
            </w:r>
            <w:r>
              <w:rPr>
                <w:rFonts w:hint="eastAsia" w:ascii="微软雅黑" w:hAnsi="微软雅黑" w:eastAsia="微软雅黑" w:cs="微软雅黑"/>
                <w:color w:val="000000"/>
                <w:kern w:val="0"/>
                <w:sz w:val="18"/>
                <w:szCs w:val="18"/>
              </w:rPr>
              <w:t>18</w:t>
            </w:r>
            <w:r>
              <w:rPr>
                <w:rFonts w:hint="eastAsia" w:ascii="微软雅黑" w:hAnsi="微软雅黑" w:eastAsia="微软雅黑" w:cs="微软雅黑"/>
                <w:color w:val="000000"/>
                <w:kern w:val="0"/>
                <w:sz w:val="18"/>
                <w:szCs w:val="18"/>
              </w:rPr>
              <w:t>。接头的钻具；过接头的时候，起、下钻速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度不得大于</w:t>
            </w:r>
            <w:r>
              <w:rPr>
                <w:rFonts w:hint="eastAsia" w:ascii="微软雅黑" w:hAnsi="微软雅黑" w:eastAsia="微软雅黑" w:cs="微软雅黑"/>
                <w:color w:val="000000"/>
                <w:kern w:val="0"/>
                <w:sz w:val="18"/>
                <w:szCs w:val="18"/>
              </w:rPr>
              <w:t>1m</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s</w:t>
            </w:r>
            <w:r>
              <w:rPr>
                <w:rFonts w:hint="eastAsia" w:ascii="微软雅黑" w:hAnsi="微软雅黑" w:eastAsia="微软雅黑" w:cs="微软雅黑"/>
                <w:color w:val="000000"/>
                <w:kern w:val="0"/>
                <w:sz w:val="18"/>
                <w:szCs w:val="18"/>
              </w:rPr>
              <w:t>；所有钻具上的胶皮护箍应全部卸掉。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环形防喷器处于关闭状态时，允许有限制地上、下活动钻具，不许旋转钻具和悬挂</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钻具。</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严禁用打开环形防喷器的办法来泄井内压力，以防刺坏胶芯。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每次开启后，必须检查是否全开，以防挂坏胶芯。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进入油气层后，每起下钻</w:t>
            </w: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次，要试开关环形防喷器</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次，检查封闭效果，发现胶芯失</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效立即更换</w:t>
            </w:r>
          </w:p>
        </w:tc>
      </w:tr>
      <w:tr>
        <w:tblPrEx>
          <w:tblLayout w:type="fixed"/>
          <w:tblCellMar>
            <w:top w:w="0" w:type="dxa"/>
            <w:left w:w="0" w:type="dxa"/>
            <w:bottom w:w="0" w:type="dxa"/>
            <w:right w:w="0" w:type="dxa"/>
          </w:tblCellMar>
        </w:tblPrEx>
        <w:trPr>
          <w:trHeight w:val="2563" w:hRule="atLeast"/>
        </w:trPr>
        <w:tc>
          <w:tcPr>
            <w:tcW w:w="628" w:type="dxa"/>
            <w:vMerge w:val="continue"/>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960"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节流、压井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装置和放喷</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管线</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平行闸板阀在阀板处于浮动状态时才能密封．因此开或关到底后必须再回转</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2</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圈，严禁开关扳死。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液动放喷阀作打开放喷管线用，此阀在</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3s</w:t>
            </w:r>
            <w:r>
              <w:rPr>
                <w:rFonts w:hint="eastAsia" w:ascii="微软雅黑" w:hAnsi="微软雅黑" w:eastAsia="微软雅黑" w:cs="微软雅黑"/>
                <w:color w:val="000000"/>
                <w:kern w:val="0"/>
                <w:sz w:val="18"/>
                <w:szCs w:val="18"/>
              </w:rPr>
              <w:t>时间内即可开关。液动放喷阀应处于常闭</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状态。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平板阀只能作截止阀用，而不能作节流阀用。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节流阀只能作节流用，不能作截止阀用。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节流、压井管汇的承压能力应与防喷器工作压力相匹配．应能满足反循环、回收钻井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液、消防作业和节流压井等要求。</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压力变送器应垂直安装，在测试压力的管路上应装一截止阀，以便在无气源时，截断压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力信号。返同压力表是气液比为</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200</w:t>
            </w:r>
            <w:r>
              <w:rPr>
                <w:rFonts w:hint="eastAsia" w:ascii="微软雅黑" w:hAnsi="微软雅黑" w:eastAsia="微软雅黑" w:cs="微软雅黑"/>
                <w:color w:val="000000"/>
                <w:kern w:val="0"/>
                <w:sz w:val="18"/>
                <w:szCs w:val="18"/>
              </w:rPr>
              <w:t>的压力表．不能用普通压力表代替</w:t>
            </w:r>
          </w:p>
        </w:tc>
      </w:tr>
      <w:tr>
        <w:tblPrEx>
          <w:tblLayout w:type="fixed"/>
          <w:tblCellMar>
            <w:top w:w="0" w:type="dxa"/>
            <w:left w:w="0" w:type="dxa"/>
            <w:bottom w:w="0" w:type="dxa"/>
            <w:right w:w="0" w:type="dxa"/>
          </w:tblCellMar>
        </w:tblPrEx>
        <w:trPr>
          <w:trHeight w:val="316" w:hRule="atLeast"/>
        </w:trPr>
        <w:tc>
          <w:tcPr>
            <w:tcW w:w="1588" w:type="dxa"/>
            <w:gridSpan w:val="3"/>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钻开油气层的防喷</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防止井喷的关键是及时发现溢流和及时控制溢流</w:t>
            </w:r>
          </w:p>
        </w:tc>
      </w:tr>
      <w:tr>
        <w:tblPrEx>
          <w:tblLayout w:type="fixed"/>
          <w:tblCellMar>
            <w:top w:w="0" w:type="dxa"/>
            <w:left w:w="0" w:type="dxa"/>
            <w:bottom w:w="0" w:type="dxa"/>
            <w:right w:w="0" w:type="dxa"/>
          </w:tblCellMar>
        </w:tblPrEx>
        <w:trPr>
          <w:trHeight w:val="316" w:hRule="atLeast"/>
        </w:trPr>
        <w:tc>
          <w:tcPr>
            <w:tcW w:w="1588" w:type="dxa"/>
            <w:gridSpan w:val="3"/>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井漏后的防喷</w:t>
            </w: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发生井漏后．为了防止井喷．应向井内补充液体。使井内始终处于低压头的漏失状态</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考点十五</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作业安全技术(表7—15)</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表7．15作业安全技术</w:t>
      </w:r>
    </w:p>
    <w:tbl>
      <w:tblPr>
        <w:tblStyle w:val="4"/>
        <w:tblW w:w="8409" w:type="dxa"/>
        <w:tblInd w:w="15" w:type="dxa"/>
        <w:tblLayout w:type="fixed"/>
        <w:tblCellMar>
          <w:top w:w="0" w:type="dxa"/>
          <w:left w:w="0" w:type="dxa"/>
          <w:bottom w:w="0" w:type="dxa"/>
          <w:right w:w="0" w:type="dxa"/>
        </w:tblCellMar>
      </w:tblPr>
      <w:tblGrid>
        <w:gridCol w:w="465"/>
        <w:gridCol w:w="1123"/>
        <w:gridCol w:w="6821"/>
      </w:tblGrid>
      <w:tr>
        <w:tblPrEx>
          <w:tblLayout w:type="fixed"/>
          <w:tblCellMar>
            <w:top w:w="0" w:type="dxa"/>
            <w:left w:w="0" w:type="dxa"/>
            <w:bottom w:w="0" w:type="dxa"/>
            <w:right w:w="0" w:type="dxa"/>
          </w:tblCellMar>
        </w:tblPrEx>
        <w:trPr>
          <w:trHeight w:val="297"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920"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压裂酸化作业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安全技术</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施工流程连接好后，首先要进行不带压试运转</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即走泵</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为防止在施工过程中管汇漏失，致使施工中断，甚至造成不良后果，高低压管汇在正式施</w:t>
            </w:r>
            <w:r>
              <w:rPr>
                <w:rFonts w:hint="eastAsia" w:ascii="微软雅黑" w:hAnsi="微软雅黑" w:eastAsia="微软雅黑" w:cs="微软雅黑"/>
                <w:color w:val="000000"/>
                <w:kern w:val="0"/>
                <w:sz w:val="18"/>
                <w:szCs w:val="18"/>
              </w:rPr>
              <w:t>_</w:t>
            </w:r>
            <w:r>
              <w:rPr>
                <w:rFonts w:hint="eastAsia" w:ascii="微软雅黑" w:hAnsi="微软雅黑" w:eastAsia="微软雅黑" w:cs="微软雅黑"/>
                <w:color w:val="000000"/>
                <w:kern w:val="0"/>
                <w:sz w:val="18"/>
                <w:szCs w:val="18"/>
              </w:rPr>
              <w:t>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前都应试压。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开始洗井应慢速注入，以返出正常为限。对井内下有封隔器不能洗井的井，应通过试挤查清</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井下情况。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压裂泵车工作时不晃动</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不走空泵</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且工作平稳。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在对含硫的油气水井进行酸化作业时，施工人员应戴防毒面具</w:t>
            </w:r>
          </w:p>
        </w:tc>
      </w:tr>
      <w:tr>
        <w:tblPrEx>
          <w:tblLayout w:type="fixed"/>
          <w:tblCellMar>
            <w:top w:w="0" w:type="dxa"/>
            <w:left w:w="0" w:type="dxa"/>
            <w:bottom w:w="0" w:type="dxa"/>
            <w:right w:w="0" w:type="dxa"/>
          </w:tblCellMar>
        </w:tblPrEx>
        <w:trPr>
          <w:trHeight w:val="1612" w:hRule="atLeast"/>
        </w:trPr>
        <w:tc>
          <w:tcPr>
            <w:tcW w:w="46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井下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作业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过程</w:t>
            </w: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发生井喷后的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安全措施</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在发生井喷初始．应停止一切施工，抢装井口或关闭防喷井控装置。</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一旦井喷失控，应立即切断危险区电源、火源、动力熄火。不准用铁器敲击，以防弓</w:t>
            </w:r>
            <w:r>
              <w:rPr>
                <w:rFonts w:hint="eastAsia" w:ascii="微软雅黑" w:hAnsi="微软雅黑" w:eastAsia="微软雅黑" w:cs="微软雅黑"/>
                <w:color w:val="000000"/>
                <w:kern w:val="0"/>
                <w:sz w:val="18"/>
                <w:szCs w:val="18"/>
              </w:rPr>
              <w:t>I</w:t>
            </w:r>
            <w:r>
              <w:rPr>
                <w:rFonts w:hint="eastAsia" w:ascii="微软雅黑" w:hAnsi="微软雅黑" w:eastAsia="微软雅黑" w:cs="微软雅黑"/>
                <w:color w:val="000000"/>
                <w:kern w:val="0"/>
                <w:sz w:val="18"/>
                <w:szCs w:val="18"/>
              </w:rPr>
              <w:t>起</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火花。同时布置警戒，严禁一切火种带人危险区。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立即向有关部门报警，消防部门要迅速到井喷现场值班，准备好各种消防器材，严阵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以待。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在人烟稠密区或生活区要迅速通知熄灭火种</w:t>
            </w:r>
          </w:p>
        </w:tc>
      </w:tr>
      <w:tr>
        <w:tblPrEx>
          <w:tblLayout w:type="fixed"/>
          <w:tblCellMar>
            <w:top w:w="0" w:type="dxa"/>
            <w:left w:w="0" w:type="dxa"/>
            <w:bottom w:w="0" w:type="dxa"/>
            <w:right w:w="0" w:type="dxa"/>
          </w:tblCellMar>
        </w:tblPrEx>
        <w:trPr>
          <w:trHeight w:val="2059" w:hRule="atLeast"/>
        </w:trPr>
        <w:tc>
          <w:tcPr>
            <w:tcW w:w="465" w:type="dxa"/>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中发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喷的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处理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技术</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123"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井喷后抢救过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程中人身安全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防护措施</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全体抢救人员要穿戴好各种劳动防护用品，必要时戴上防毒面具、口罩、防震安全帽，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系好安全带、安全绳。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消防车及消防设施要严阵以待，随时应付突发事故的发生。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医务抢救人员到现场守候，做好急救工作的一切准备。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全体抢救人员要服从现场的统一指挥，随时准备好。一旦发生爆炸、火灾、塌陷等意外</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事故时，人员、设备能迅速撤离现场。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在高含油、气区域抢险时间不宜太长，组织救护队随时观察中毒等受伤人员，及时转移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到安全区域进行救护</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考点十六</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采油(气)安全技术(表7—16)</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表7—16采油(气)安全技术</w:t>
      </w:r>
    </w:p>
    <w:tbl>
      <w:tblPr>
        <w:tblStyle w:val="4"/>
        <w:tblW w:w="8400" w:type="dxa"/>
        <w:tblInd w:w="15" w:type="dxa"/>
        <w:tblLayout w:type="fixed"/>
        <w:tblCellMar>
          <w:top w:w="0" w:type="dxa"/>
          <w:left w:w="0" w:type="dxa"/>
          <w:bottom w:w="0" w:type="dxa"/>
          <w:right w:w="0" w:type="dxa"/>
        </w:tblCellMar>
      </w:tblPr>
      <w:tblGrid>
        <w:gridCol w:w="465"/>
        <w:gridCol w:w="1123"/>
        <w:gridCol w:w="6812"/>
      </w:tblGrid>
      <w:tr>
        <w:tblPrEx>
          <w:tblLayout w:type="fixed"/>
          <w:tblCellMar>
            <w:top w:w="0" w:type="dxa"/>
            <w:left w:w="0" w:type="dxa"/>
            <w:bottom w:w="0" w:type="dxa"/>
            <w:right w:w="0" w:type="dxa"/>
          </w:tblCellMar>
        </w:tblPrEx>
        <w:trPr>
          <w:trHeight w:val="302"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12"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276"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注蒸汽热力</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采油安全技术</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12"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热力采油就是将热量有计划地注入油层，或在油层内产生热量，从井里采出原油。它适应于</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用常规采油方法不能正常开采的稠油油田的开采。主要包括火烧、注蒸汽、注热水和注热气等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种方法。</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注蒸汽热力采油安全技术主要包括热采井对钻井工程质量的安全技术要求、地面注汽管道工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艺的安全技术要求、停注后的安全要求和隔热井安全技术要求</w:t>
            </w:r>
          </w:p>
        </w:tc>
      </w:tr>
      <w:tr>
        <w:tblPrEx>
          <w:tblLayout w:type="fixed"/>
          <w:tblCellMar>
            <w:top w:w="0" w:type="dxa"/>
            <w:left w:w="0" w:type="dxa"/>
            <w:bottom w:w="0" w:type="dxa"/>
            <w:right w:w="0" w:type="dxa"/>
          </w:tblCellMar>
        </w:tblPrEx>
        <w:trPr>
          <w:trHeight w:val="321"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气举采油的安全技术</w:t>
            </w:r>
          </w:p>
        </w:tc>
        <w:tc>
          <w:tcPr>
            <w:tcW w:w="6812"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包括高压气源的安全要求和气举井作业的安全技术</w:t>
            </w:r>
          </w:p>
        </w:tc>
      </w:tr>
      <w:tr>
        <w:tblPrEx>
          <w:tblLayout w:type="fixed"/>
          <w:tblCellMar>
            <w:top w:w="0" w:type="dxa"/>
            <w:left w:w="0" w:type="dxa"/>
            <w:bottom w:w="0" w:type="dxa"/>
            <w:right w:w="0" w:type="dxa"/>
          </w:tblCellMar>
        </w:tblPrEx>
        <w:trPr>
          <w:trHeight w:val="2884" w:hRule="atLeast"/>
        </w:trPr>
        <w:tc>
          <w:tcPr>
            <w:tcW w:w="465" w:type="dxa"/>
            <w:vMerge w:val="restart"/>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运</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术</w:t>
            </w: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管道线路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的布置及</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水工保护</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12"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埋地输油气管道与高压输电线平行或交叉敷设时，其安全间距应符合《</w:t>
            </w:r>
            <w:r>
              <w:rPr>
                <w:rFonts w:hint="eastAsia" w:ascii="微软雅黑" w:hAnsi="微软雅黑" w:eastAsia="微软雅黑" w:cs="微软雅黑"/>
                <w:color w:val="000000"/>
                <w:kern w:val="0"/>
                <w:sz w:val="18"/>
                <w:szCs w:val="18"/>
              </w:rPr>
              <w:t>66kV</w:t>
            </w:r>
            <w:r>
              <w:rPr>
                <w:rFonts w:hint="eastAsia" w:ascii="微软雅黑" w:hAnsi="微软雅黑" w:eastAsia="微软雅黑" w:cs="微软雅黑"/>
                <w:color w:val="000000"/>
                <w:kern w:val="0"/>
                <w:sz w:val="18"/>
                <w:szCs w:val="18"/>
              </w:rPr>
              <w:t>及以下架空电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力线路设计规范》</w:t>
            </w:r>
            <w:r>
              <w:rPr>
                <w:rFonts w:hint="eastAsia" w:ascii="微软雅黑" w:hAnsi="微软雅黑" w:eastAsia="微软雅黑" w:cs="微软雅黑"/>
                <w:color w:val="000000"/>
                <w:kern w:val="0"/>
                <w:sz w:val="18"/>
                <w:szCs w:val="18"/>
              </w:rPr>
              <w:t>(GB 50061</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2010)</w:t>
            </w:r>
            <w:r>
              <w:rPr>
                <w:rFonts w:hint="eastAsia" w:ascii="微软雅黑" w:hAnsi="微软雅黑" w:eastAsia="微软雅黑" w:cs="微软雅黑"/>
                <w:color w:val="000000"/>
                <w:kern w:val="0"/>
                <w:sz w:val="18"/>
                <w:szCs w:val="18"/>
              </w:rPr>
              <w:t>、《输油管道工程设计规范》</w:t>
            </w:r>
            <w:r>
              <w:rPr>
                <w:rFonts w:hint="eastAsia" w:ascii="微软雅黑" w:hAnsi="微软雅黑" w:eastAsia="微软雅黑" w:cs="微软雅黑"/>
                <w:color w:val="000000"/>
                <w:kern w:val="0"/>
                <w:sz w:val="18"/>
                <w:szCs w:val="18"/>
              </w:rPr>
              <w:t>(GB 50253--2014)</w:t>
            </w:r>
            <w:r>
              <w:rPr>
                <w:rFonts w:hint="eastAsia" w:ascii="微软雅黑" w:hAnsi="微软雅黑" w:eastAsia="微软雅黑" w:cs="微软雅黑"/>
                <w:color w:val="000000"/>
                <w:kern w:val="0"/>
                <w:sz w:val="18"/>
                <w:szCs w:val="18"/>
              </w:rPr>
              <w:t>；与高压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输电线铁塔避雷接地体安全距离不应小于</w:t>
            </w:r>
            <w:r>
              <w:rPr>
                <w:rFonts w:hint="eastAsia" w:ascii="微软雅黑" w:hAnsi="微软雅黑" w:eastAsia="微软雅黑" w:cs="微软雅黑"/>
                <w:color w:val="000000"/>
                <w:kern w:val="0"/>
                <w:sz w:val="18"/>
                <w:szCs w:val="18"/>
              </w:rPr>
              <w:t>20m</w:t>
            </w:r>
            <w:r>
              <w:rPr>
                <w:rFonts w:hint="eastAsia" w:ascii="微软雅黑" w:hAnsi="微软雅黑" w:eastAsia="微软雅黑" w:cs="微软雅黑"/>
                <w:color w:val="000000"/>
                <w:kern w:val="0"/>
                <w:sz w:val="18"/>
                <w:szCs w:val="18"/>
              </w:rPr>
              <w:t>，因条件限制无法满足要求时，应对管道采取相</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应的防雷保护措施，且防雷保护措施不应影响管道的阴极保护效果和管道的维修；与高压输电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线交叉敷设时，距输电线</w:t>
            </w:r>
            <w:r>
              <w:rPr>
                <w:rFonts w:hint="eastAsia" w:ascii="微软雅黑" w:hAnsi="微软雅黑" w:eastAsia="微软雅黑" w:cs="微软雅黑"/>
                <w:color w:val="000000"/>
                <w:kern w:val="0"/>
                <w:sz w:val="18"/>
                <w:szCs w:val="18"/>
              </w:rPr>
              <w:t>20m</w:t>
            </w:r>
            <w:r>
              <w:rPr>
                <w:rFonts w:hint="eastAsia" w:ascii="微软雅黑" w:hAnsi="微软雅黑" w:eastAsia="微软雅黑" w:cs="微软雅黑"/>
                <w:color w:val="000000"/>
                <w:kern w:val="0"/>
                <w:sz w:val="18"/>
                <w:szCs w:val="18"/>
              </w:rPr>
              <w:t>范围内不应设置阀室及可能发生油气泄漏的装置。</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埋地输油气管道与通信电缆平行敷设时，其安全间距不宜小于</w:t>
            </w:r>
            <w:r>
              <w:rPr>
                <w:rFonts w:hint="eastAsia" w:ascii="微软雅黑" w:hAnsi="微软雅黑" w:eastAsia="微软雅黑" w:cs="微软雅黑"/>
                <w:color w:val="000000"/>
                <w:kern w:val="0"/>
                <w:sz w:val="18"/>
                <w:szCs w:val="18"/>
              </w:rPr>
              <w:t>10m</w:t>
            </w:r>
            <w:r>
              <w:rPr>
                <w:rFonts w:hint="eastAsia" w:ascii="微软雅黑" w:hAnsi="微软雅黑" w:eastAsia="微软雅黑" w:cs="微软雅黑"/>
                <w:color w:val="000000"/>
                <w:kern w:val="0"/>
                <w:sz w:val="18"/>
                <w:szCs w:val="18"/>
              </w:rPr>
              <w:t>；特殊地带达不到要求</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的，应采取相应的保护措施；交叉时，二者净空间距应不小于</w:t>
            </w:r>
            <w:r>
              <w:rPr>
                <w:rFonts w:hint="eastAsia" w:ascii="微软雅黑" w:hAnsi="微软雅黑" w:eastAsia="微软雅黑" w:cs="微软雅黑"/>
                <w:color w:val="000000"/>
                <w:kern w:val="0"/>
                <w:sz w:val="18"/>
                <w:szCs w:val="18"/>
              </w:rPr>
              <w:t>0.5 m</w:t>
            </w:r>
            <w:r>
              <w:rPr>
                <w:rFonts w:hint="eastAsia" w:ascii="微软雅黑" w:hAnsi="微软雅黑" w:eastAsia="微软雅黑" w:cs="微软雅黑"/>
                <w:color w:val="000000"/>
                <w:kern w:val="0"/>
                <w:sz w:val="18"/>
                <w:szCs w:val="18"/>
              </w:rPr>
              <w:t>。且后建工程应从先建</w:t>
            </w:r>
            <w:r>
              <w:rPr>
                <w:rFonts w:hint="eastAsia" w:ascii="微软雅黑" w:hAnsi="微软雅黑" w:eastAsia="微软雅黑" w:cs="微软雅黑"/>
                <w:color w:val="000000"/>
                <w:kern w:val="0"/>
                <w:sz w:val="18"/>
                <w:szCs w:val="18"/>
              </w:rPr>
              <w:t>_T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程下方穿过。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埋地输油气管道与其他管道平行敷设时，其安全间距不宜小于</w:t>
            </w:r>
            <w:r>
              <w:rPr>
                <w:rFonts w:hint="eastAsia" w:ascii="微软雅黑" w:hAnsi="微软雅黑" w:eastAsia="微软雅黑" w:cs="微软雅黑"/>
                <w:color w:val="000000"/>
                <w:kern w:val="0"/>
                <w:sz w:val="18"/>
                <w:szCs w:val="18"/>
              </w:rPr>
              <w:t>10m</w:t>
            </w:r>
            <w:r>
              <w:rPr>
                <w:rFonts w:hint="eastAsia" w:ascii="微软雅黑" w:hAnsi="微软雅黑" w:eastAsia="微软雅黑" w:cs="微软雅黑"/>
                <w:color w:val="000000"/>
                <w:kern w:val="0"/>
                <w:sz w:val="18"/>
                <w:szCs w:val="18"/>
              </w:rPr>
              <w:t>；特殊地带达不到要求</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的，应采取相应的保护措施，且应保持两管道间有足够的维修、抢修间距；交叉时，二者净空</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间距应不小于</w:t>
            </w:r>
            <w:r>
              <w:rPr>
                <w:rFonts w:hint="eastAsia" w:ascii="微软雅黑" w:hAnsi="微软雅黑" w:eastAsia="微软雅黑" w:cs="微软雅黑"/>
                <w:color w:val="000000"/>
                <w:kern w:val="0"/>
                <w:sz w:val="18"/>
                <w:szCs w:val="18"/>
              </w:rPr>
              <w:t>0.5m</w:t>
            </w:r>
            <w:r>
              <w:rPr>
                <w:rFonts w:hint="eastAsia" w:ascii="微软雅黑" w:hAnsi="微软雅黑" w:eastAsia="微软雅黑" w:cs="微软雅黑"/>
                <w:color w:val="000000"/>
                <w:kern w:val="0"/>
                <w:sz w:val="18"/>
                <w:szCs w:val="18"/>
              </w:rPr>
              <w:t>，且后建工程应从先建工程下方穿过</w:t>
            </w:r>
          </w:p>
        </w:tc>
      </w:tr>
      <w:tr>
        <w:tblPrEx>
          <w:tblLayout w:type="fixed"/>
          <w:tblCellMar>
            <w:top w:w="0" w:type="dxa"/>
            <w:left w:w="0" w:type="dxa"/>
            <w:bottom w:w="0" w:type="dxa"/>
            <w:right w:w="0" w:type="dxa"/>
          </w:tblCellMar>
        </w:tblPrEx>
        <w:trPr>
          <w:trHeight w:val="638" w:hRule="atLeast"/>
        </w:trPr>
        <w:tc>
          <w:tcPr>
            <w:tcW w:w="465"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线路截断阀</w:t>
            </w:r>
          </w:p>
          <w:p>
            <w:pPr>
              <w:autoSpaceDE w:val="0"/>
              <w:autoSpaceDN w:val="0"/>
              <w:rPr>
                <w:rFonts w:hint="eastAsia" w:ascii="微软雅黑" w:hAnsi="微软雅黑" w:eastAsia="微软雅黑" w:cs="微软雅黑"/>
                <w:color w:val="000000"/>
                <w:kern w:val="0"/>
                <w:sz w:val="18"/>
                <w:szCs w:val="18"/>
              </w:rPr>
            </w:pPr>
          </w:p>
        </w:tc>
        <w:tc>
          <w:tcPr>
            <w:tcW w:w="6812"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输油、气管道应设置线路截断阀，天然气管道截断阀附设的放空管接地应定期检测。定期对</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截断阀进行巡检</w:t>
            </w:r>
          </w:p>
        </w:tc>
      </w:tr>
      <w:tr>
        <w:tblPrEx>
          <w:tblLayout w:type="fixed"/>
          <w:tblCellMar>
            <w:top w:w="0" w:type="dxa"/>
            <w:left w:w="0" w:type="dxa"/>
            <w:bottom w:w="0" w:type="dxa"/>
            <w:right w:w="0" w:type="dxa"/>
          </w:tblCellMar>
        </w:tblPrEx>
        <w:trPr>
          <w:trHeight w:val="796" w:hRule="atLeast"/>
        </w:trPr>
        <w:tc>
          <w:tcPr>
            <w:tcW w:w="465" w:type="dxa"/>
            <w:vMerge w:val="continue"/>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23"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管道穿跨越</w:t>
            </w:r>
          </w:p>
          <w:p>
            <w:pPr>
              <w:autoSpaceDE w:val="0"/>
              <w:autoSpaceDN w:val="0"/>
              <w:rPr>
                <w:rFonts w:hint="eastAsia" w:ascii="微软雅黑" w:hAnsi="微软雅黑" w:eastAsia="微软雅黑" w:cs="微软雅黑"/>
                <w:color w:val="000000"/>
                <w:kern w:val="0"/>
                <w:sz w:val="18"/>
                <w:szCs w:val="18"/>
              </w:rPr>
            </w:pPr>
          </w:p>
        </w:tc>
        <w:tc>
          <w:tcPr>
            <w:tcW w:w="6812"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输油气管道通过河流时，应根据河流的水文、地质、水势、地形、地貌、地震等自然条件，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及两岸的村镇、交通等现状，并考虑到管道的总体走向、日后管道管理维护的方便，选择合理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的穿跨越位置</w:t>
            </w:r>
          </w:p>
        </w:tc>
      </w:tr>
    </w:tbl>
    <w:p>
      <w:pPr>
        <w:autoSpaceDE w:val="0"/>
        <w:autoSpaceDN w:val="0"/>
        <w:adjustRightInd w:val="0"/>
        <w:jc w:val="left"/>
        <w:rPr>
          <w:rFonts w:hint="eastAsia" w:ascii="微软雅黑" w:hAnsi="微软雅黑" w:eastAsia="微软雅黑" w:cs="微软雅黑"/>
          <w:color w:val="000000"/>
          <w:kern w:val="0"/>
          <w:sz w:val="18"/>
          <w:szCs w:val="18"/>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A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A7600"/>
    <w:rsid w:val="000D4191"/>
    <w:rsid w:val="000E750C"/>
    <w:rsid w:val="005A7600"/>
    <w:rsid w:val="00795CB7"/>
    <w:rsid w:val="008D71B3"/>
    <w:rsid w:val="00C346C4"/>
    <w:rsid w:val="00EE7A3E"/>
    <w:rsid w:val="00F53573"/>
    <w:rsid w:val="4E7B230F"/>
    <w:rsid w:val="64FD62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5"/>
    <w:unhideWhenUsed/>
    <w:uiPriority w:val="99"/>
    <w:rPr>
      <w:sz w:val="18"/>
      <w:szCs w:val="18"/>
    </w:rPr>
  </w:style>
  <w:style w:type="character" w:customStyle="1" w:styleId="5">
    <w:name w:val="批注框文本 Char"/>
    <w:basedOn w:val="3"/>
    <w:link w:val="2"/>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28</Pages>
  <Words>3361</Words>
  <Characters>19164</Characters>
  <Lines>159</Lines>
  <Paragraphs>44</Paragraphs>
  <TotalTime>0</TotalTime>
  <ScaleCrop>false</ScaleCrop>
  <LinksUpToDate>false</LinksUpToDate>
  <CharactersWithSpaces>22481</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2017-06-20T01:44:00Z</dcterms:created>
  <dc:creator>个人用户</dc:creator>
  <cp:lastModifiedBy>hp</cp:lastModifiedBy>
  <dcterms:modified xsi:type="dcterms:W3CDTF">2017-08-26T12:35:01Z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